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jc w:val="center"/>
      </w:pPr>
      <w:r>
        <w:t xml:space="preserve">Lo</w:t>
      </w:r>
      <w:r>
        <w:t xml:space="preserve"> </w:t>
      </w:r>
      <w:r>
        <w:t xml:space="preserve">que</w:t>
      </w:r>
      <w:r>
        <w:t xml:space="preserve"> </w:t>
      </w:r>
      <w:r>
        <w:t xml:space="preserve">el</w:t>
      </w:r>
      <w:r>
        <w:t xml:space="preserve"> </w:t>
      </w:r>
      <w:r>
        <w:t xml:space="preserve">fuego</w:t>
      </w:r>
      <w:r>
        <w:t xml:space="preserve"> </w:t>
      </w:r>
      <w:r>
        <w:t xml:space="preserve">se</w:t>
      </w:r>
      <w:r>
        <w:t xml:space="preserve"> </w:t>
      </w:r>
      <w:r>
        <w:t xml:space="preserve">lleva</w:t>
      </w:r>
      <w:r>
        <w:t xml:space="preserve"> </w:t>
      </w:r>
      <w:r>
        <w:t xml:space="preserve">y</w:t>
      </w:r>
      <w:r>
        <w:t xml:space="preserve"> </w:t>
      </w:r>
      <w:r>
        <w:t xml:space="preserve">nadie</w:t>
      </w:r>
      <w:r>
        <w:t xml:space="preserve"> </w:t>
      </w:r>
      <w:r>
        <w:t xml:space="preserve">cuenta:</w:t>
      </w:r>
      <w:r>
        <w:t xml:space="preserve"> </w:t>
      </w:r>
      <w:r>
        <w:t xml:space="preserve">incendios</w:t>
      </w:r>
      <w:r>
        <w:t xml:space="preserve"> </w:t>
      </w:r>
      <w:r>
        <w:t xml:space="preserve">y</w:t>
      </w:r>
      <w:r>
        <w:t xml:space="preserve"> </w:t>
      </w:r>
      <w:r>
        <w:t xml:space="preserve">polinizadores</w:t>
      </w:r>
      <w:r>
        <w:t xml:space="preserve"> </w:t>
      </w:r>
      <w:r>
        <w:t xml:space="preserve">en</w:t>
      </w:r>
      <w:r>
        <w:t xml:space="preserve"> </w:t>
      </w:r>
      <w:r>
        <w:t xml:space="preserve">el</w:t>
      </w:r>
      <w:r>
        <w:t xml:space="preserve"> </w:t>
      </w:r>
      <w:r>
        <w:t xml:space="preserve">mundo,</w:t>
      </w:r>
      <w:r>
        <w:t xml:space="preserve"> </w:t>
      </w:r>
      <w:r>
        <w:t xml:space="preserve">2026</w:t>
      </w:r>
    </w:p>
    <w:p>
      <w:pPr>
        <w:pStyle w:val="Subtitle"/>
        <w:jc w:val="center"/>
      </w:pPr>
      <w:r>
        <w:t xml:space="preserve">También</w:t>
      </w:r>
      <w:r>
        <w:t xml:space="preserve"> </w:t>
      </w:r>
      <w:r>
        <w:t xml:space="preserve">arden</w:t>
      </w:r>
      <w:r>
        <w:t xml:space="preserve"> </w:t>
      </w:r>
      <w:r>
        <w:t xml:space="preserve">las</w:t>
      </w:r>
      <w:r>
        <w:t xml:space="preserve"> </w:t>
      </w:r>
      <w:r>
        <w:t xml:space="preserve">alas</w:t>
      </w:r>
    </w:p>
    <w:p>
      <w:pPr>
        <w:pStyle w:val="Date"/>
        <w:jc w:val="center"/>
      </w:pPr>
      <w:r>
        <w:t xml:space="preserve">9</w:t>
      </w:r>
      <w:r>
        <w:t xml:space="preserve"> </w:t>
      </w:r>
      <w:r>
        <w:t xml:space="preserve">de</w:t>
      </w:r>
      <w:r>
        <w:t xml:space="preserve"> </w:t>
      </w:r>
      <w:r>
        <w:t xml:space="preserve">octubre</w:t>
      </w:r>
      <w:r>
        <w:t xml:space="preserve"> </w:t>
      </w:r>
      <w:r>
        <w:t xml:space="preserve">de</w:t>
      </w:r>
      <w:r>
        <w:t xml:space="preserve"> </w:t>
      </w:r>
      <w:r>
        <w:t xml:space="preserve">2026</w:t>
      </w:r>
      <w:r>
        <w:t xml:space="preserve"> </w:t>
      </w:r>
      <w:r>
        <w:t xml:space="preserve">·</w:t>
      </w:r>
      <w:r>
        <w:t xml:space="preserve"> </w:t>
      </w:r>
      <w:r>
        <w:t xml:space="preserve">9</w:t>
      </w:r>
      <w:r>
        <w:t xml:space="preserve"> </w:t>
      </w:r>
      <w:r>
        <w:t xml:space="preserve">October</w:t>
      </w:r>
      <w:r>
        <w:t xml:space="preserve"> </w:t>
      </w:r>
      <w:r>
        <w:t xml:space="preserve">2026</w:t>
      </w:r>
    </w:p>
    <w:p>
      <w:pPr>
        <w:pStyle w:val="FirstParagraph"/>
        <w:jc w:val="center"/>
      </w:pPr>
      <w:r>
        <w:rPr>
          <w:bCs/>
          <w:b/>
        </w:rPr>
        <w:t xml:space="preserve">What fire takes and no one tells: wildfires and pollinators worldwide, 2026</w:t>
      </w:r>
    </w:p>
    <w:p>
      <w:pPr>
        <w:pStyle w:val="BodyText"/>
        <w:jc w:val="center"/>
      </w:pPr>
      <w:r>
        <w:rPr>
          <w:iCs/>
          <w:i/>
        </w:rPr>
        <w:t xml:space="preserve">Wings burn too</w:t>
      </w:r>
    </w:p>
    <w:p>
      <w:pPr>
        <w:pStyle w:val="BodyText"/>
      </w:pPr>
      <w:r>
        <w:t>English first, Spanish below. This public edition contains dated figures cleared for publication, with source links in the tables and source list.</w:t>
      </w:r>
    </w:p>
    <w:p>
      <w:pPr>
        <w:pStyle w:val="BodyText"/>
      </w:pPr>
      <w:r>
        <w:t>Primero en inglés y después en español. Esta edición pública reúne cifras fechadas y aptas para publicación, con enlaces a sus fuentes en las tablas y la lista final.</w:t>
      </w:r>
    </w:p>
    <w:p>
      <w:pPr>
        <w:spacing w:after="60"/>
        <w:jc w:val="center"/>
      </w:pPr>
      <w:r>
        <w:drawing>
          <wp:inline>
            <wp:extent cx="1874519" cy="2499359"/>
            <wp:docPr id="1" name="Picture 1"/>
            <wp:cNvGraphicFramePr>
              <a:graphicFrameLocks noChangeAspect="1"/>
            </wp:cNvGraphicFramePr>
            <a:graphic>
              <a:graphicData uri="http://schemas.openxmlformats.org/drawingml/2006/picture">
                <pic:pic>
                  <pic:nvPicPr>
                    <pic:cNvPr id="0" name="nifc-box-springs-fire.jpg"/>
                    <pic:cNvPicPr/>
                  </pic:nvPicPr>
                  <pic:blipFill>
                    <a:blip r:embed="rId9"/>
                    <a:stretch>
                      <a:fillRect/>
                    </a:stretch>
                  </pic:blipFill>
                  <pic:spPr>
                    <a:xfrm>
                      <a:off x="0" y="0"/>
                      <a:ext cx="1874519" cy="2499359"/>
                    </a:xfrm>
                    <a:prstGeom prst="rect"/>
                  </pic:spPr>
                </pic:pic>
              </a:graphicData>
            </a:graphic>
          </wp:inline>
        </w:drawing>
      </w:r>
    </w:p>
    <w:p>
      <w:pPr>
        <w:pStyle w:val="Caption"/>
        <w:jc w:val="center"/>
      </w:pPr>
      <w:r>
        <w:t xml:space="preserve">Box Springs Fire, Oregon, 2026. Photo: National Interagency Fire Center.  </w:t>
      </w:r>
      <w:hyperlink r:id="rId10">
        <w:r>
          <w:t>https://www.flickr.com/photos/nifc/albums/72177720331309023/</w:t>
        </w:r>
      </w:hyperlink>
    </w:p>
    <w:bookmarkStart w:id="24" w:name="english-key-figures"/>
    <w:p>
      <w:pPr>
        <w:pStyle w:val="Heading1"/>
        <w:pageBreakBefore/>
      </w:pPr>
      <w:r>
        <w:t xml:space="preserve">English · Key figures</w:t>
      </w:r>
    </w:p>
    <w:p>
      <w:pPr>
        <w:pStyle w:val="FirstParagraph"/>
      </w:pPr>
      <w:r>
        <w:t xml:space="preserve">Spain has burned 264,656 ha by the official ministry count (to 31 August) and 300,998 ha by the satellite estimate (to 1 October); the two sources measure differently and must never be mixed in one figure.</w:t>
      </w:r>
    </w:p>
    <w:tbl>
      <w:tblPr>
        <w:tblStyle w:val="Table"/>
        <w:tblW w:type="pct" w:w="500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980"/>
        <w:gridCol w:w="1980"/>
        <w:gridCol w:w="1980"/>
        <w:gridCol w:w="1980"/>
      </w:tblGrid>
      <w:tr>
        <w:trPr>
          <w:tblHeader w:val="true"/>
        </w:trPr>
        <w:tc>
          <w:tcPr>
            <w:shd w:val="clear" w:color="auto" w:fill="E8EEF4"/>
          </w:tcPr>
          <w:p>
            <w:pPr>
              <w:pStyle w:val="Compact"/>
              <w:jc w:val="left"/>
            </w:pPr>
            <w:r>
              <w:rPr>
                <w:b/>
                <w:sz w:val="19"/>
              </w:rPr>
              <w:t xml:space="preserve">Region</w:t>
            </w:r>
          </w:p>
        </w:tc>
        <w:tc>
          <w:tcPr>
            <w:shd w:val="clear" w:color="auto" w:fill="E8EEF4"/>
          </w:tcPr>
          <w:p>
            <w:pPr>
              <w:pStyle w:val="Compact"/>
              <w:jc w:val="left"/>
            </w:pPr>
            <w:r>
              <w:rPr>
                <w:b/>
                <w:sz w:val="19"/>
              </w:rPr>
              <w:t xml:space="preserve">Figure</w:t>
            </w:r>
          </w:p>
        </w:tc>
        <w:tc>
          <w:tcPr>
            <w:shd w:val="clear" w:color="auto" w:fill="E8EEF4"/>
          </w:tcPr>
          <w:p>
            <w:pPr>
              <w:pStyle w:val="Compact"/>
              <w:jc w:val="left"/>
            </w:pPr>
            <w:r>
              <w:rPr>
                <w:b/>
                <w:sz w:val="19"/>
              </w:rPr>
              <w:t xml:space="preserve">Source</w:t>
            </w:r>
          </w:p>
        </w:tc>
        <w:tc>
          <w:tcPr>
            <w:shd w:val="clear" w:color="auto" w:fill="E8EEF4"/>
          </w:tcPr>
          <w:p>
            <w:pPr>
              <w:pStyle w:val="Compact"/>
              <w:jc w:val="left"/>
            </w:pPr>
            <w:r>
              <w:rPr>
                <w:b/>
                <w:sz w:val="19"/>
              </w:rPr>
              <w:t xml:space="preserve">Date</w:t>
            </w:r>
          </w:p>
        </w:tc>
      </w:tr>
      <w:tr>
        <w:tc>
          <w:tcPr/>
          <w:p>
            <w:pPr>
              <w:pStyle w:val="Compact"/>
              <w:jc w:val="left"/>
            </w:pPr>
            <w:r>
              <w:rPr>
                <w:sz w:val="19"/>
              </w:rPr>
              <w:t xml:space="preserve">Spain, official count (provisional)</w:t>
            </w:r>
          </w:p>
        </w:tc>
        <w:tc>
          <w:tcPr/>
          <w:p>
            <w:pPr>
              <w:pStyle w:val="Compact"/>
              <w:jc w:val="left"/>
            </w:pPr>
            <w:r>
              <w:rPr>
                <w:sz w:val="19"/>
              </w:rPr>
              <w:t xml:space="preserve">264,656 ha; 44 large fires (over 500 ha)</w:t>
            </w:r>
          </w:p>
        </w:tc>
        <w:tc>
          <w:tcPr/>
          <w:p>
            <w:pPr>
              <w:pStyle w:val="Compact"/>
              <w:jc w:val="left"/>
            </w:pPr>
            <w:hyperlink r:id="rId20">
              <w:r>
                <w:rPr>
                  <w:rStyle w:val="Hyperlink"/>
                </w:rPr>
                <w:t xml:space="preserve">MITECO via The Objective</w:t>
              </w:r>
            </w:hyperlink>
          </w:p>
        </w:tc>
        <w:tc>
          <w:tcPr/>
          <w:p>
            <w:pPr>
              <w:pStyle w:val="Compact"/>
              <w:jc w:val="left"/>
            </w:pPr>
            <w:r>
              <w:rPr>
                <w:sz w:val="19"/>
              </w:rPr>
              <w:t xml:space="preserve">31 Aug 2026</w:t>
            </w:r>
          </w:p>
        </w:tc>
      </w:tr>
      <w:tr>
        <w:tc>
          <w:tcPr/>
          <w:p>
            <w:pPr>
              <w:pStyle w:val="Compact"/>
              <w:jc w:val="left"/>
            </w:pPr>
            <w:r>
              <w:rPr>
                <w:sz w:val="19"/>
              </w:rPr>
              <w:t xml:space="preserve">Spain, largest fire</w:t>
            </w:r>
          </w:p>
        </w:tc>
        <w:tc>
          <w:tcPr/>
          <w:p>
            <w:pPr>
              <w:pStyle w:val="Compact"/>
              <w:jc w:val="left"/>
            </w:pPr>
            <w:r>
              <w:rPr>
                <w:sz w:val="19"/>
              </w:rPr>
              <w:t xml:space="preserve">Niebla (Huelva), 39,821 ha</w:t>
            </w:r>
          </w:p>
        </w:tc>
        <w:tc>
          <w:tcPr/>
          <w:p>
            <w:pPr>
              <w:pStyle w:val="Compact"/>
              <w:jc w:val="left"/>
            </w:pPr>
            <w:hyperlink r:id="rId21">
              <w:r>
                <w:rPr>
                  <w:rStyle w:val="Hyperlink"/>
                </w:rPr>
                <w:t xml:space="preserve">MITECO interactive report</w:t>
              </w:r>
            </w:hyperlink>
          </w:p>
        </w:tc>
        <w:tc>
          <w:tcPr/>
          <w:p>
            <w:pPr>
              <w:pStyle w:val="Compact"/>
              <w:jc w:val="left"/>
            </w:pPr>
            <w:r>
              <w:rPr>
                <w:sz w:val="19"/>
              </w:rPr>
              <w:t xml:space="preserve">Sep 2026</w:t>
            </w:r>
          </w:p>
        </w:tc>
      </w:tr>
      <w:tr>
        <w:tc>
          <w:tcPr/>
          <w:p>
            <w:pPr>
              <w:pStyle w:val="Compact"/>
              <w:jc w:val="left"/>
            </w:pPr>
            <w:r>
              <w:rPr>
                <w:sz w:val="19"/>
              </w:rPr>
              <w:t xml:space="preserve">Spain, satellite estimate</w:t>
            </w:r>
          </w:p>
        </w:tc>
        <w:tc>
          <w:tcPr/>
          <w:p>
            <w:pPr>
              <w:pStyle w:val="Compact"/>
              <w:jc w:val="left"/>
            </w:pPr>
            <w:r>
              <w:rPr>
                <w:sz w:val="19"/>
              </w:rPr>
              <w:t xml:space="preserve">300,998 ha; 88,788 ha is the average for the same date</w:t>
            </w:r>
          </w:p>
        </w:tc>
        <w:tc>
          <w:tcPr/>
          <w:p>
            <w:pPr>
              <w:pStyle w:val="Compact"/>
              <w:jc w:val="left"/>
            </w:pPr>
            <w:hyperlink r:id="rId22">
              <w:r>
                <w:rPr>
                  <w:rStyle w:val="Hyperlink"/>
                </w:rPr>
                <w:t xml:space="preserve">EFFIS via Ecoticias</w:t>
              </w:r>
            </w:hyperlink>
          </w:p>
        </w:tc>
        <w:tc>
          <w:tcPr/>
          <w:p>
            <w:pPr>
              <w:pStyle w:val="Compact"/>
              <w:jc w:val="left"/>
            </w:pPr>
            <w:r>
              <w:rPr>
                <w:sz w:val="19"/>
              </w:rPr>
              <w:t xml:space="preserve">1 Oct 2026</w:t>
            </w:r>
          </w:p>
        </w:tc>
      </w:tr>
      <w:tr>
        <w:tc>
          <w:tcPr/>
          <w:p>
            <w:pPr>
              <w:pStyle w:val="Compact"/>
              <w:jc w:val="left"/>
            </w:pPr>
            <w:r>
              <w:rPr>
                <w:sz w:val="19"/>
              </w:rPr>
              <w:t xml:space="preserve">European Union, satellite estimate</w:t>
            </w:r>
          </w:p>
        </w:tc>
        <w:tc>
          <w:tcPr/>
          <w:p>
            <w:pPr>
              <w:pStyle w:val="Compact"/>
              <w:jc w:val="left"/>
            </w:pPr>
            <w:r>
              <w:rPr>
                <w:sz w:val="19"/>
              </w:rPr>
              <w:t xml:space="preserve">686,071 ha</w:t>
            </w:r>
          </w:p>
        </w:tc>
        <w:tc>
          <w:tcPr/>
          <w:p>
            <w:pPr>
              <w:pStyle w:val="Compact"/>
              <w:jc w:val="left"/>
            </w:pPr>
            <w:hyperlink r:id="rId22">
              <w:r>
                <w:rPr>
                  <w:rStyle w:val="Hyperlink"/>
                </w:rPr>
                <w:t xml:space="preserve">EFFIS via Ecoticias</w:t>
              </w:r>
            </w:hyperlink>
          </w:p>
        </w:tc>
        <w:tc>
          <w:tcPr/>
          <w:p>
            <w:pPr>
              <w:pStyle w:val="Compact"/>
              <w:jc w:val="left"/>
            </w:pPr>
            <w:r>
              <w:rPr>
                <w:sz w:val="19"/>
              </w:rPr>
              <w:t xml:space="preserve">1 Oct 2026</w:t>
            </w:r>
          </w:p>
        </w:tc>
      </w:tr>
      <w:tr>
        <w:tc>
          <w:tcPr/>
          <w:p>
            <w:pPr>
              <w:pStyle w:val="Compact"/>
              <w:jc w:val="left"/>
            </w:pPr>
            <w:r>
              <w:rPr>
                <w:sz w:val="19"/>
              </w:rPr>
              <w:t xml:space="preserve">Canada</w:t>
            </w:r>
          </w:p>
        </w:tc>
        <w:tc>
          <w:tcPr/>
          <w:p>
            <w:pPr>
              <w:pStyle w:val="Compact"/>
              <w:jc w:val="left"/>
            </w:pPr>
            <w:r>
              <w:rPr>
                <w:sz w:val="19"/>
              </w:rPr>
              <w:t xml:space="preserve">About 4.49 million ha in 5,132 fires, close to the 10-year average</w:t>
            </w:r>
          </w:p>
        </w:tc>
        <w:tc>
          <w:tcPr/>
          <w:p>
            <w:pPr>
              <w:pStyle w:val="Compact"/>
              <w:jc w:val="left"/>
            </w:pPr>
            <w:hyperlink r:id="rId23">
              <w:r>
                <w:rPr>
                  <w:rStyle w:val="Hyperlink"/>
                </w:rPr>
                <w:t xml:space="preserve">NIFC seasonal outlook</w:t>
              </w:r>
            </w:hyperlink>
          </w:p>
        </w:tc>
        <w:tc>
          <w:tcPr/>
          <w:p>
            <w:pPr>
              <w:pStyle w:val="Compact"/>
              <w:jc w:val="left"/>
            </w:pPr>
            <w:r>
              <w:rPr>
                <w:sz w:val="19"/>
              </w:rPr>
              <w:t xml:space="preserve">14 Sep 2026</w:t>
            </w:r>
          </w:p>
        </w:tc>
      </w:tr>
    </w:tbl>
    <w:p>
      <w:pPr>
        <w:pStyle w:val="BodyText"/>
      </w:pPr>
      <w:r>
        <w:t xml:space="preserve">MITECO compiles the regional reports and its data are provisional; EFFIS estimates burned area from satellite images.</w:t>
      </w:r>
    </w:p>
    <w:bookmarkEnd w:id="24"/>
    <w:bookmarkStart w:id="32" w:name="english-rest-of-the-world"/>
    <w:p>
      <w:pPr>
        <w:pStyle w:val="Heading1"/>
      </w:pPr>
      <w:r>
        <w:t xml:space="preserve">English · Rest of the world</w:t>
      </w:r>
    </w:p>
    <w:p>
      <w:pPr>
        <w:pStyle w:val="FirstParagraph"/>
      </w:pPr>
      <w:r>
        <w:t xml:space="preserve">Africa holds 55.1% of the 112.3 million ha burned worldwide to 1 August 2026, followed by Asia, Oceania and South America; according to the source, these totals include wildfires, agricultural burning and planned burns, so they should not be compared figure by figure with wildfire counts for Europe.</w:t>
      </w:r>
    </w:p>
    <w:tbl>
      <w:tblPr>
        <w:tblStyle w:val="Table"/>
        <w:tblW w:type="auto" w:w="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2640"/>
        <w:gridCol w:w="2640"/>
        <w:gridCol w:w="2640"/>
      </w:tblGrid>
      <w:tr>
        <w:trPr>
          <w:tblHeader w:val="true"/>
        </w:trPr>
        <w:tc>
          <w:tcPr>
            <w:shd w:val="clear" w:color="auto" w:fill="E8EEF4"/>
          </w:tcPr>
          <w:p>
            <w:pPr>
              <w:pStyle w:val="Compact"/>
              <w:jc w:val="left"/>
            </w:pPr>
            <w:r>
              <w:rPr>
                <w:b/>
                <w:sz w:val="19"/>
              </w:rPr>
              <w:t xml:space="preserve">Region</w:t>
            </w:r>
          </w:p>
        </w:tc>
        <w:tc>
          <w:tcPr>
            <w:shd w:val="clear" w:color="auto" w:fill="E8EEF4"/>
          </w:tcPr>
          <w:p>
            <w:pPr>
              <w:pStyle w:val="Compact"/>
              <w:jc w:val="right"/>
            </w:pPr>
            <w:r>
              <w:rPr>
                <w:b/>
                <w:sz w:val="19"/>
              </w:rPr>
              <w:t xml:space="preserve">Burned area to 1 Aug 2026 (ha)</w:t>
            </w:r>
          </w:p>
        </w:tc>
        <w:tc>
          <w:tcPr>
            <w:shd w:val="clear" w:color="auto" w:fill="E8EEF4"/>
          </w:tcPr>
          <w:p>
            <w:pPr>
              <w:pStyle w:val="Compact"/>
              <w:jc w:val="right"/>
            </w:pPr>
            <w:r>
              <w:rPr>
                <w:b/>
                <w:sz w:val="19"/>
              </w:rPr>
              <w:t xml:space="preserve">Share of world</w:t>
            </w:r>
          </w:p>
        </w:tc>
      </w:tr>
      <w:tr>
        <w:tc>
          <w:tcPr/>
          <w:p>
            <w:pPr>
              <w:pStyle w:val="Compact"/>
              <w:jc w:val="left"/>
            </w:pPr>
            <w:r>
              <w:rPr>
                <w:sz w:val="19"/>
              </w:rPr>
              <w:t xml:space="preserve">Africa</w:t>
            </w:r>
          </w:p>
        </w:tc>
        <w:tc>
          <w:tcPr/>
          <w:p>
            <w:pPr>
              <w:pStyle w:val="Compact"/>
              <w:jc w:val="right"/>
            </w:pPr>
            <w:r>
              <w:rPr>
                <w:sz w:val="19"/>
              </w:rPr>
              <w:t xml:space="preserve">61,870,300</w:t>
            </w:r>
          </w:p>
        </w:tc>
        <w:tc>
          <w:tcPr/>
          <w:p>
            <w:pPr>
              <w:pStyle w:val="Compact"/>
              <w:jc w:val="right"/>
            </w:pPr>
            <w:r>
              <w:rPr>
                <w:sz w:val="19"/>
              </w:rPr>
              <w:t xml:space="preserve">55.1%</w:t>
            </w:r>
          </w:p>
        </w:tc>
      </w:tr>
      <w:tr>
        <w:tc>
          <w:tcPr/>
          <w:p>
            <w:pPr>
              <w:pStyle w:val="Compact"/>
              <w:jc w:val="left"/>
            </w:pPr>
            <w:r>
              <w:rPr>
                <w:sz w:val="19"/>
              </w:rPr>
              <w:t xml:space="preserve">Asia</w:t>
            </w:r>
          </w:p>
        </w:tc>
        <w:tc>
          <w:tcPr/>
          <w:p>
            <w:pPr>
              <w:pStyle w:val="Compact"/>
              <w:jc w:val="right"/>
            </w:pPr>
            <w:r>
              <w:rPr>
                <w:sz w:val="19"/>
              </w:rPr>
              <w:t xml:space="preserve">19,733,182</w:t>
            </w:r>
          </w:p>
        </w:tc>
        <w:tc>
          <w:tcPr/>
          <w:p>
            <w:pPr>
              <w:pStyle w:val="Compact"/>
              <w:jc w:val="right"/>
            </w:pPr>
            <w:r>
              <w:rPr>
                <w:sz w:val="19"/>
              </w:rPr>
              <w:t xml:space="preserve">17.6%</w:t>
            </w:r>
          </w:p>
        </w:tc>
      </w:tr>
      <w:tr>
        <w:tc>
          <w:tcPr/>
          <w:p>
            <w:pPr>
              <w:pStyle w:val="Compact"/>
              <w:jc w:val="left"/>
            </w:pPr>
            <w:r>
              <w:rPr>
                <w:sz w:val="19"/>
              </w:rPr>
              <w:t xml:space="preserve">Oceania</w:t>
            </w:r>
          </w:p>
        </w:tc>
        <w:tc>
          <w:tcPr/>
          <w:p>
            <w:pPr>
              <w:pStyle w:val="Compact"/>
              <w:jc w:val="right"/>
            </w:pPr>
            <w:r>
              <w:rPr>
                <w:sz w:val="19"/>
              </w:rPr>
              <w:t xml:space="preserve">12,061,714</w:t>
            </w:r>
          </w:p>
        </w:tc>
        <w:tc>
          <w:tcPr/>
          <w:p>
            <w:pPr>
              <w:pStyle w:val="Compact"/>
              <w:jc w:val="right"/>
            </w:pPr>
            <w:r>
              <w:rPr>
                <w:sz w:val="19"/>
              </w:rPr>
              <w:t xml:space="preserve">10.7%</w:t>
            </w:r>
          </w:p>
        </w:tc>
      </w:tr>
      <w:tr>
        <w:tc>
          <w:tcPr/>
          <w:p>
            <w:pPr>
              <w:pStyle w:val="Compact"/>
              <w:jc w:val="left"/>
            </w:pPr>
            <w:r>
              <w:rPr>
                <w:sz w:val="19"/>
              </w:rPr>
              <w:t xml:space="preserve">South America</w:t>
            </w:r>
          </w:p>
        </w:tc>
        <w:tc>
          <w:tcPr/>
          <w:p>
            <w:pPr>
              <w:pStyle w:val="Compact"/>
              <w:jc w:val="right"/>
            </w:pPr>
            <w:r>
              <w:rPr>
                <w:sz w:val="19"/>
              </w:rPr>
              <w:t xml:space="preserve">7,813,377</w:t>
            </w:r>
          </w:p>
        </w:tc>
        <w:tc>
          <w:tcPr/>
          <w:p>
            <w:pPr>
              <w:pStyle w:val="Compact"/>
              <w:jc w:val="right"/>
            </w:pPr>
            <w:r>
              <w:rPr>
                <w:sz w:val="19"/>
              </w:rPr>
              <w:t xml:space="preserve">7.0%</w:t>
            </w:r>
          </w:p>
        </w:tc>
      </w:tr>
      <w:tr>
        <w:tc>
          <w:tcPr/>
          <w:p>
            <w:pPr>
              <w:pStyle w:val="Compact"/>
              <w:jc w:val="left"/>
            </w:pPr>
            <w:r>
              <w:rPr>
                <w:sz w:val="19"/>
              </w:rPr>
              <w:t xml:space="preserve">North America</w:t>
            </w:r>
          </w:p>
        </w:tc>
        <w:tc>
          <w:tcPr/>
          <w:p>
            <w:pPr>
              <w:pStyle w:val="Compact"/>
              <w:jc w:val="right"/>
            </w:pPr>
            <w:r>
              <w:rPr>
                <w:sz w:val="19"/>
              </w:rPr>
              <w:t xml:space="preserve">6,804,905</w:t>
            </w:r>
          </w:p>
        </w:tc>
        <w:tc>
          <w:tcPr/>
          <w:p>
            <w:pPr>
              <w:pStyle w:val="Compact"/>
              <w:jc w:val="right"/>
            </w:pPr>
            <w:r>
              <w:rPr>
                <w:sz w:val="19"/>
              </w:rPr>
              <w:t xml:space="preserve">6.1%</w:t>
            </w:r>
          </w:p>
        </w:tc>
      </w:tr>
      <w:tr>
        <w:tc>
          <w:tcPr/>
          <w:p>
            <w:pPr>
              <w:pStyle w:val="Compact"/>
              <w:jc w:val="left"/>
            </w:pPr>
            <w:r>
              <w:rPr>
                <w:sz w:val="19"/>
              </w:rPr>
              <w:t xml:space="preserve">Europe</w:t>
            </w:r>
          </w:p>
        </w:tc>
        <w:tc>
          <w:tcPr/>
          <w:p>
            <w:pPr>
              <w:pStyle w:val="Compact"/>
              <w:jc w:val="right"/>
            </w:pPr>
            <w:r>
              <w:rPr>
                <w:sz w:val="19"/>
              </w:rPr>
              <w:t xml:space="preserve">3,992,404</w:t>
            </w:r>
          </w:p>
        </w:tc>
        <w:tc>
          <w:tcPr/>
          <w:p>
            <w:pPr>
              <w:pStyle w:val="Compact"/>
              <w:jc w:val="right"/>
            </w:pPr>
            <w:r>
              <w:rPr>
                <w:sz w:val="19"/>
              </w:rPr>
              <w:t xml:space="preserve">3.6%</w:t>
            </w:r>
          </w:p>
        </w:tc>
      </w:tr>
      <w:tr>
        <w:tc>
          <w:tcPr/>
          <w:p>
            <w:pPr>
              <w:pStyle w:val="Compact"/>
              <w:jc w:val="left"/>
            </w:pPr>
            <w:r>
              <w:rPr>
                <w:sz w:val="19"/>
              </w:rPr>
              <w:t xml:space="preserve">World</w:t>
            </w:r>
          </w:p>
        </w:tc>
        <w:tc>
          <w:tcPr/>
          <w:p>
            <w:pPr>
              <w:pStyle w:val="Compact"/>
              <w:jc w:val="right"/>
            </w:pPr>
            <w:r>
              <w:rPr>
                <w:sz w:val="19"/>
              </w:rPr>
              <w:t xml:space="preserve">112,275,880</w:t>
            </w:r>
          </w:p>
        </w:tc>
        <w:tc>
          <w:tcPr/>
          <w:p>
            <w:pPr>
              <w:pStyle w:val="Compact"/>
              <w:jc w:val="right"/>
            </w:pPr>
            <w:r>
              <w:rPr>
                <w:sz w:val="19"/>
              </w:rPr>
              <w:t xml:space="preserve">100%</w:t>
            </w:r>
          </w:p>
        </w:tc>
      </w:tr>
    </w:tbl>
    <w:p>
      <w:pPr>
        <w:pStyle w:val="BodyText"/>
      </w:pPr>
      <w:r>
        <w:t xml:space="preserve">Source for both tables:</w:t>
      </w:r>
      <w:r>
        <w:t xml:space="preserve"> </w:t>
      </w:r>
      <w:hyperlink r:id="rId25">
        <w:r>
          <w:rPr>
            <w:rStyle w:val="Hyperlink"/>
          </w:rPr>
          <w:t xml:space="preserve">GWIS data via Visual Capitalist</w:t>
        </w:r>
      </w:hyperlink>
      <w:r>
        <w:t xml:space="preserve">, published 13 August 2026.</w:t>
      </w:r>
    </w:p>
    <w:tbl>
      <w:tblPr>
        <w:tblStyle w:val="Table"/>
        <w:tblW w:type="auto" w:w="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2640"/>
        <w:gridCol w:w="2640"/>
        <w:gridCol w:w="2640"/>
      </w:tblGrid>
      <w:tr>
        <w:trPr>
          <w:tblHeader w:val="true"/>
        </w:trPr>
        <w:tc>
          <w:tcPr>
            <w:shd w:val="clear" w:color="auto" w:fill="E8EEF4"/>
          </w:tcPr>
          <w:p>
            <w:pPr>
              <w:pStyle w:val="Compact"/>
              <w:jc w:val="left"/>
            </w:pPr>
            <w:r>
              <w:rPr>
                <w:b/>
                <w:sz w:val="19"/>
              </w:rPr>
              <w:t xml:space="preserve">Country</w:t>
            </w:r>
          </w:p>
        </w:tc>
        <w:tc>
          <w:tcPr>
            <w:shd w:val="clear" w:color="auto" w:fill="E8EEF4"/>
          </w:tcPr>
          <w:p>
            <w:pPr>
              <w:pStyle w:val="Compact"/>
              <w:jc w:val="right"/>
            </w:pPr>
            <w:r>
              <w:rPr>
                <w:b/>
                <w:sz w:val="19"/>
              </w:rPr>
              <w:t xml:space="preserve">Burned area to 1 Aug 2026 (ha)</w:t>
            </w:r>
          </w:p>
        </w:tc>
        <w:tc>
          <w:tcPr>
            <w:shd w:val="clear" w:color="auto" w:fill="E8EEF4"/>
          </w:tcPr>
          <w:p>
            <w:pPr>
              <w:pStyle w:val="Compact"/>
              <w:jc w:val="right"/>
            </w:pPr>
            <w:r>
              <w:rPr>
                <w:b/>
                <w:sz w:val="19"/>
              </w:rPr>
              <w:t xml:space="preserve">Share of world</w:t>
            </w:r>
          </w:p>
        </w:tc>
      </w:tr>
      <w:tr>
        <w:tc>
          <w:tcPr/>
          <w:p>
            <w:pPr>
              <w:pStyle w:val="Compact"/>
              <w:jc w:val="left"/>
            </w:pPr>
            <w:r>
              <w:rPr>
                <w:sz w:val="19"/>
              </w:rPr>
              <w:t xml:space="preserve">DR Congo</w:t>
            </w:r>
          </w:p>
        </w:tc>
        <w:tc>
          <w:tcPr/>
          <w:p>
            <w:pPr>
              <w:pStyle w:val="Compact"/>
              <w:jc w:val="right"/>
            </w:pPr>
            <w:r>
              <w:rPr>
                <w:sz w:val="19"/>
              </w:rPr>
              <w:t xml:space="preserve">13,611,126</w:t>
            </w:r>
          </w:p>
        </w:tc>
        <w:tc>
          <w:tcPr/>
          <w:p>
            <w:pPr>
              <w:pStyle w:val="Compact"/>
              <w:jc w:val="right"/>
            </w:pPr>
            <w:r>
              <w:rPr>
                <w:sz w:val="19"/>
              </w:rPr>
              <w:t xml:space="preserve">12.1%</w:t>
            </w:r>
          </w:p>
        </w:tc>
      </w:tr>
      <w:tr>
        <w:tc>
          <w:tcPr/>
          <w:p>
            <w:pPr>
              <w:pStyle w:val="Compact"/>
              <w:jc w:val="left"/>
            </w:pPr>
            <w:r>
              <w:rPr>
                <w:sz w:val="19"/>
              </w:rPr>
              <w:t xml:space="preserve">Angola</w:t>
            </w:r>
          </w:p>
        </w:tc>
        <w:tc>
          <w:tcPr/>
          <w:p>
            <w:pPr>
              <w:pStyle w:val="Compact"/>
              <w:jc w:val="right"/>
            </w:pPr>
            <w:r>
              <w:rPr>
                <w:sz w:val="19"/>
              </w:rPr>
              <w:t xml:space="preserve">7,473,034</w:t>
            </w:r>
          </w:p>
        </w:tc>
        <w:tc>
          <w:tcPr/>
          <w:p>
            <w:pPr>
              <w:pStyle w:val="Compact"/>
              <w:jc w:val="right"/>
            </w:pPr>
            <w:r>
              <w:rPr>
                <w:sz w:val="19"/>
              </w:rPr>
              <w:t xml:space="preserve">6.7%</w:t>
            </w:r>
          </w:p>
        </w:tc>
      </w:tr>
      <w:tr>
        <w:tc>
          <w:tcPr/>
          <w:p>
            <w:pPr>
              <w:pStyle w:val="Compact"/>
              <w:jc w:val="left"/>
            </w:pPr>
            <w:r>
              <w:rPr>
                <w:sz w:val="19"/>
              </w:rPr>
              <w:t xml:space="preserve">Russia</w:t>
            </w:r>
          </w:p>
        </w:tc>
        <w:tc>
          <w:tcPr/>
          <w:p>
            <w:pPr>
              <w:pStyle w:val="Compact"/>
              <w:jc w:val="right"/>
            </w:pPr>
            <w:r>
              <w:rPr>
                <w:sz w:val="19"/>
              </w:rPr>
              <w:t xml:space="preserve">3,335,029</w:t>
            </w:r>
          </w:p>
        </w:tc>
        <w:tc>
          <w:tcPr/>
          <w:p>
            <w:pPr>
              <w:pStyle w:val="Compact"/>
              <w:jc w:val="right"/>
            </w:pPr>
            <w:r>
              <w:rPr>
                <w:sz w:val="19"/>
              </w:rPr>
              <w:t xml:space="preserve">3.0%</w:t>
            </w:r>
          </w:p>
        </w:tc>
      </w:tr>
      <w:tr>
        <w:tc>
          <w:tcPr/>
          <w:p>
            <w:pPr>
              <w:pStyle w:val="Compact"/>
              <w:jc w:val="left"/>
            </w:pPr>
            <w:r>
              <w:rPr>
                <w:sz w:val="19"/>
              </w:rPr>
              <w:t xml:space="preserve">Venezuela</w:t>
            </w:r>
          </w:p>
        </w:tc>
        <w:tc>
          <w:tcPr/>
          <w:p>
            <w:pPr>
              <w:pStyle w:val="Compact"/>
              <w:jc w:val="right"/>
            </w:pPr>
            <w:r>
              <w:rPr>
                <w:sz w:val="19"/>
              </w:rPr>
              <w:t xml:space="preserve">2,977,466</w:t>
            </w:r>
          </w:p>
        </w:tc>
        <w:tc>
          <w:tcPr/>
          <w:p>
            <w:pPr>
              <w:pStyle w:val="Compact"/>
              <w:jc w:val="right"/>
            </w:pPr>
            <w:r>
              <w:rPr>
                <w:sz w:val="19"/>
              </w:rPr>
              <w:t xml:space="preserve">2.7%</w:t>
            </w:r>
          </w:p>
        </w:tc>
      </w:tr>
      <w:tr>
        <w:tc>
          <w:tcPr/>
          <w:p>
            <w:pPr>
              <w:pStyle w:val="Compact"/>
              <w:jc w:val="left"/>
            </w:pPr>
            <w:r>
              <w:rPr>
                <w:sz w:val="19"/>
              </w:rPr>
              <w:t xml:space="preserve">United States</w:t>
            </w:r>
          </w:p>
        </w:tc>
        <w:tc>
          <w:tcPr/>
          <w:p>
            <w:pPr>
              <w:pStyle w:val="Compact"/>
              <w:jc w:val="right"/>
            </w:pPr>
            <w:r>
              <w:rPr>
                <w:sz w:val="19"/>
              </w:rPr>
              <w:t xml:space="preserve">2,371,207</w:t>
            </w:r>
          </w:p>
        </w:tc>
        <w:tc>
          <w:tcPr/>
          <w:p>
            <w:pPr>
              <w:pStyle w:val="Compact"/>
              <w:jc w:val="right"/>
            </w:pPr>
            <w:r>
              <w:rPr>
                <w:sz w:val="19"/>
              </w:rPr>
              <w:t xml:space="preserve">2.1%</w:t>
            </w:r>
          </w:p>
        </w:tc>
      </w:tr>
      <w:tr>
        <w:tc>
          <w:tcPr/>
          <w:p>
            <w:pPr>
              <w:pStyle w:val="Compact"/>
              <w:jc w:val="left"/>
            </w:pPr>
            <w:r>
              <w:rPr>
                <w:sz w:val="19"/>
              </w:rPr>
              <w:t xml:space="preserve">Canada</w:t>
            </w:r>
          </w:p>
        </w:tc>
        <w:tc>
          <w:tcPr/>
          <w:p>
            <w:pPr>
              <w:pStyle w:val="Compact"/>
              <w:jc w:val="right"/>
            </w:pPr>
            <w:r>
              <w:rPr>
                <w:sz w:val="19"/>
              </w:rPr>
              <w:t xml:space="preserve">2,031,754</w:t>
            </w:r>
          </w:p>
        </w:tc>
        <w:tc>
          <w:tcPr/>
          <w:p>
            <w:pPr>
              <w:pStyle w:val="Compact"/>
              <w:jc w:val="right"/>
            </w:pPr>
            <w:r>
              <w:rPr>
                <w:sz w:val="19"/>
              </w:rPr>
              <w:t xml:space="preserve">1.8%</w:t>
            </w:r>
          </w:p>
        </w:tc>
      </w:tr>
      <w:tr>
        <w:tc>
          <w:tcPr/>
          <w:p>
            <w:pPr>
              <w:pStyle w:val="Compact"/>
              <w:jc w:val="left"/>
            </w:pPr>
            <w:r>
              <w:rPr>
                <w:sz w:val="19"/>
              </w:rPr>
              <w:t xml:space="preserve">Brazil</w:t>
            </w:r>
          </w:p>
        </w:tc>
        <w:tc>
          <w:tcPr/>
          <w:p>
            <w:pPr>
              <w:pStyle w:val="Compact"/>
              <w:jc w:val="right"/>
            </w:pPr>
            <w:r>
              <w:rPr>
                <w:sz w:val="19"/>
              </w:rPr>
              <w:t xml:space="preserve">2,030,209</w:t>
            </w:r>
          </w:p>
        </w:tc>
        <w:tc>
          <w:tcPr/>
          <w:p>
            <w:pPr>
              <w:pStyle w:val="Compact"/>
              <w:jc w:val="right"/>
            </w:pPr>
            <w:r>
              <w:rPr>
                <w:sz w:val="19"/>
              </w:rPr>
              <w:t xml:space="preserve">1.8%</w:t>
            </w:r>
          </w:p>
        </w:tc>
      </w:tr>
      <w:tr>
        <w:tc>
          <w:tcPr/>
          <w:p>
            <w:pPr>
              <w:pStyle w:val="Compact"/>
              <w:jc w:val="left"/>
            </w:pPr>
            <w:r>
              <w:rPr>
                <w:sz w:val="19"/>
              </w:rPr>
              <w:t xml:space="preserve">South Africa</w:t>
            </w:r>
          </w:p>
        </w:tc>
        <w:tc>
          <w:tcPr/>
          <w:p>
            <w:pPr>
              <w:pStyle w:val="Compact"/>
              <w:jc w:val="right"/>
            </w:pPr>
            <w:r>
              <w:rPr>
                <w:sz w:val="19"/>
              </w:rPr>
              <w:t xml:space="preserve">784,647</w:t>
            </w:r>
          </w:p>
        </w:tc>
        <w:tc>
          <w:tcPr/>
          <w:p>
            <w:pPr>
              <w:pStyle w:val="Compact"/>
              <w:jc w:val="right"/>
            </w:pPr>
            <w:r>
              <w:rPr>
                <w:sz w:val="19"/>
              </w:rPr>
              <w:t xml:space="preserve">0.7%</w:t>
            </w:r>
          </w:p>
        </w:tc>
      </w:tr>
      <w:tr>
        <w:tc>
          <w:tcPr/>
          <w:p>
            <w:pPr>
              <w:pStyle w:val="Compact"/>
              <w:jc w:val="left"/>
            </w:pPr>
            <w:r>
              <w:rPr>
                <w:sz w:val="19"/>
              </w:rPr>
              <w:t xml:space="preserve">Bolivia</w:t>
            </w:r>
          </w:p>
        </w:tc>
        <w:tc>
          <w:tcPr/>
          <w:p>
            <w:pPr>
              <w:pStyle w:val="Compact"/>
              <w:jc w:val="right"/>
            </w:pPr>
            <w:r>
              <w:rPr>
                <w:sz w:val="19"/>
              </w:rPr>
              <w:t xml:space="preserve">546,490</w:t>
            </w:r>
          </w:p>
        </w:tc>
        <w:tc>
          <w:tcPr/>
          <w:p>
            <w:pPr>
              <w:pStyle w:val="Compact"/>
              <w:jc w:val="right"/>
            </w:pPr>
            <w:r>
              <w:rPr>
                <w:sz w:val="19"/>
              </w:rPr>
              <w:t xml:space="preserve">0.5%</w:t>
            </w:r>
          </w:p>
        </w:tc>
      </w:tr>
    </w:tbl>
    <w:p>
      <w:pPr>
        <w:pStyle w:val="BodyText"/>
      </w:pPr>
      <w:r>
        <w:t xml:space="preserve">More recent national reports:</w:t>
      </w:r>
    </w:p>
    <w:tbl>
      <w:tblPr>
        <w:tblStyle w:val="Table"/>
        <w:tblW w:type="pct" w:w="500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980"/>
        <w:gridCol w:w="1980"/>
        <w:gridCol w:w="1980"/>
        <w:gridCol w:w="1980"/>
      </w:tblGrid>
      <w:tr>
        <w:trPr>
          <w:tblHeader w:val="true"/>
        </w:trPr>
        <w:tc>
          <w:tcPr>
            <w:shd w:val="clear" w:color="auto" w:fill="E8EEF4"/>
          </w:tcPr>
          <w:p>
            <w:pPr>
              <w:pStyle w:val="Compact"/>
              <w:jc w:val="left"/>
            </w:pPr>
            <w:r>
              <w:rPr>
                <w:b/>
                <w:sz w:val="19"/>
              </w:rPr>
              <w:t xml:space="preserve">Country</w:t>
            </w:r>
          </w:p>
        </w:tc>
        <w:tc>
          <w:tcPr>
            <w:shd w:val="clear" w:color="auto" w:fill="E8EEF4"/>
          </w:tcPr>
          <w:p>
            <w:pPr>
              <w:pStyle w:val="Compact"/>
              <w:jc w:val="left"/>
            </w:pPr>
            <w:r>
              <w:rPr>
                <w:b/>
                <w:sz w:val="19"/>
              </w:rPr>
              <w:t xml:space="preserve">Latest figure</w:t>
            </w:r>
          </w:p>
        </w:tc>
        <w:tc>
          <w:tcPr>
            <w:shd w:val="clear" w:color="auto" w:fill="E8EEF4"/>
          </w:tcPr>
          <w:p>
            <w:pPr>
              <w:pStyle w:val="Compact"/>
              <w:jc w:val="left"/>
            </w:pPr>
            <w:r>
              <w:rPr>
                <w:b/>
                <w:sz w:val="19"/>
              </w:rPr>
              <w:t xml:space="preserve">Source</w:t>
            </w:r>
          </w:p>
        </w:tc>
        <w:tc>
          <w:tcPr>
            <w:shd w:val="clear" w:color="auto" w:fill="E8EEF4"/>
          </w:tcPr>
          <w:p>
            <w:pPr>
              <w:pStyle w:val="Compact"/>
              <w:jc w:val="left"/>
            </w:pPr>
            <w:r>
              <w:rPr>
                <w:b/>
                <w:sz w:val="19"/>
              </w:rPr>
              <w:t xml:space="preserve">Date</w:t>
            </w:r>
          </w:p>
        </w:tc>
      </w:tr>
      <w:tr>
        <w:tc>
          <w:tcPr/>
          <w:p>
            <w:pPr>
              <w:pStyle w:val="Compact"/>
              <w:jc w:val="left"/>
            </w:pPr>
            <w:r>
              <w:rPr>
                <w:sz w:val="19"/>
              </w:rPr>
              <w:t xml:space="preserve">United States</w:t>
            </w:r>
          </w:p>
        </w:tc>
        <w:tc>
          <w:tcPr/>
          <w:p>
            <w:pPr>
              <w:pStyle w:val="Compact"/>
              <w:jc w:val="left"/>
            </w:pPr>
            <w:r>
              <w:rPr>
                <w:sz w:val="19"/>
              </w:rPr>
              <w:t xml:space="preserve">9,000,619 acres (about 3.64 million ha) in 62,738 fires; the 10-year average is 6,106,514 acres</w:t>
            </w:r>
          </w:p>
        </w:tc>
        <w:tc>
          <w:tcPr/>
          <w:p>
            <w:pPr>
              <w:pStyle w:val="Compact"/>
              <w:jc w:val="left"/>
            </w:pPr>
            <w:hyperlink r:id="rId27">
              <w:r>
                <w:rPr>
                  <w:rStyle w:val="Hyperlink"/>
                </w:rPr>
                <w:t xml:space="preserve">NIFC</w:t>
              </w:r>
            </w:hyperlink>
          </w:p>
        </w:tc>
        <w:tc>
          <w:tcPr/>
          <w:p>
            <w:pPr>
              <w:pStyle w:val="Compact"/>
              <w:jc w:val="left"/>
            </w:pPr>
            <w:r>
              <w:rPr>
                <w:sz w:val="19"/>
              </w:rPr>
              <w:t xml:space="preserve">2 Oct 2026</w:t>
            </w:r>
          </w:p>
        </w:tc>
      </w:tr>
      <w:tr>
        <w:tc>
          <w:tcPr/>
          <w:p>
            <w:pPr>
              <w:pStyle w:val="Compact"/>
              <w:jc w:val="left"/>
            </w:pPr>
            <w:r>
              <w:rPr>
                <w:sz w:val="19"/>
              </w:rPr>
              <w:t xml:space="preserve">Russia</w:t>
            </w:r>
          </w:p>
        </w:tc>
        <w:tc>
          <w:tcPr/>
          <w:p>
            <w:pPr>
              <w:pStyle w:val="Compact"/>
              <w:jc w:val="left"/>
            </w:pPr>
            <w:r>
              <w:rPr>
                <w:sz w:val="19"/>
              </w:rPr>
              <w:t xml:space="preserve">More than 1.3 million ha burning at once (not a season total); Sakha 987,067 ha, Krasnoyarsk 405,800 ha</w:t>
            </w:r>
          </w:p>
        </w:tc>
        <w:tc>
          <w:tcPr/>
          <w:p>
            <w:pPr>
              <w:pStyle w:val="Compact"/>
              <w:jc w:val="left"/>
            </w:pPr>
            <w:hyperlink r:id="rId28">
              <w:r>
                <w:rPr>
                  <w:rStyle w:val="Hyperlink"/>
                </w:rPr>
                <w:t xml:space="preserve">Moscow Times, citing the Aerial Forest Protection Service</w:t>
              </w:r>
            </w:hyperlink>
          </w:p>
        </w:tc>
        <w:tc>
          <w:tcPr/>
          <w:p>
            <w:pPr>
              <w:pStyle w:val="Compact"/>
              <w:jc w:val="left"/>
            </w:pPr>
            <w:r>
              <w:rPr>
                <w:sz w:val="19"/>
              </w:rPr>
              <w:t xml:space="preserve">24 Aug 2026</w:t>
            </w:r>
          </w:p>
        </w:tc>
      </w:tr>
      <w:tr>
        <w:tc>
          <w:tcPr/>
          <w:p>
            <w:pPr>
              <w:pStyle w:val="Compact"/>
              <w:jc w:val="left"/>
            </w:pPr>
            <w:r>
              <w:rPr>
                <w:sz w:val="19"/>
              </w:rPr>
              <w:t xml:space="preserve">Brazil (Amazonas state)</w:t>
            </w:r>
          </w:p>
        </w:tc>
        <w:tc>
          <w:tcPr/>
          <w:p>
            <w:pPr>
              <w:pStyle w:val="Compact"/>
              <w:jc w:val="left"/>
            </w:pPr>
            <w:r>
              <w:rPr>
                <w:sz w:val="19"/>
              </w:rPr>
              <w:t xml:space="preserve">2,384 fire hotspots from 1 to 19 September, 282% more than the 624 of 2025</w:t>
            </w:r>
          </w:p>
        </w:tc>
        <w:tc>
          <w:tcPr/>
          <w:p>
            <w:pPr>
              <w:pStyle w:val="Compact"/>
              <w:jc w:val="left"/>
            </w:pPr>
            <w:hyperlink r:id="rId30">
              <w:r>
                <w:rPr>
                  <w:rStyle w:val="Hyperlink"/>
                </w:rPr>
                <w:t xml:space="preserve">INPE via BNC Amazonas</w:t>
              </w:r>
            </w:hyperlink>
          </w:p>
        </w:tc>
        <w:tc>
          <w:tcPr/>
          <w:p>
            <w:pPr>
              <w:pStyle w:val="Compact"/>
              <w:jc w:val="left"/>
            </w:pPr>
            <w:r>
              <w:rPr>
                <w:sz w:val="19"/>
              </w:rPr>
              <w:t xml:space="preserve">21 Sep 2026</w:t>
            </w:r>
          </w:p>
        </w:tc>
      </w:tr>
      <w:tr>
        <w:tc>
          <w:tcPr/>
          <w:p>
            <w:pPr>
              <w:pStyle w:val="Compact"/>
              <w:jc w:val="left"/>
            </w:pPr>
            <w:r>
              <w:rPr>
                <w:sz w:val="19"/>
              </w:rPr>
              <w:t xml:space="preserve">Bolivia</w:t>
            </w:r>
          </w:p>
        </w:tc>
        <w:tc>
          <w:tcPr/>
          <w:p>
            <w:pPr>
              <w:pStyle w:val="Compact"/>
              <w:jc w:val="left"/>
            </w:pPr>
            <w:r>
              <w:rPr>
                <w:sz w:val="19"/>
              </w:rPr>
              <w:t xml:space="preserve">About 2,538 ha in Otuquis National Park, with more fires in Santa Cruz and Tarija; no national total found</w:t>
            </w:r>
          </w:p>
        </w:tc>
        <w:tc>
          <w:tcPr/>
          <w:p>
            <w:pPr>
              <w:pStyle w:val="Compact"/>
              <w:jc w:val="left"/>
            </w:pPr>
            <w:hyperlink r:id="rId31">
              <w:r>
                <w:rPr>
                  <w:rStyle w:val="Hyperlink"/>
                </w:rPr>
                <w:t xml:space="preserve">Infobae</w:t>
              </w:r>
            </w:hyperlink>
          </w:p>
        </w:tc>
        <w:tc>
          <w:tcPr/>
          <w:p>
            <w:pPr>
              <w:pStyle w:val="Compact"/>
              <w:jc w:val="left"/>
            </w:pPr>
            <w:r>
              <w:rPr>
                <w:sz w:val="19"/>
              </w:rPr>
              <w:t xml:space="preserve">20 Jul 2026</w:t>
            </w:r>
          </w:p>
        </w:tc>
      </w:tr>
    </w:tbl>
    <w:bookmarkEnd w:id="32"/>
    <w:bookmarkStart w:id="36" w:name="english-what-fire-means-for-pollinators"/>
    <w:p>
      <w:pPr>
        <w:pStyle w:val="Heading1"/>
      </w:pPr>
      <w:r>
        <w:t xml:space="preserve">English · What fire means for pollinators</w:t>
      </w:r>
    </w:p>
    <w:p>
      <w:pPr>
        <w:pStyle w:val="FirstParagraph"/>
      </w:pPr>
      <w:r>
        <w:t xml:space="preserve">Fire can kill pollinators, especially those that nest or develop above ground, such as caterpillars, and can remove the flowers they feed on (</w:t>
      </w:r>
      <w:hyperlink r:id="rId33">
        <w:r>
          <w:rPr>
            <w:rStyle w:val="Hyperlink"/>
          </w:rPr>
          <w:t xml:space="preserve">Ulyshen et al., 2024</w:t>
        </w:r>
      </w:hyperlink>
      <w:r>
        <w:t xml:space="preserve">). Larger, more frequent wildfires can remove the plants that feed monarch butterflies and damage their habitat, both at overwintering sites and along their migratory pathways (</w:t>
      </w:r>
      <w:hyperlink r:id="rId34">
        <w:r>
          <w:rPr>
            <w:rStyle w:val="Hyperlink"/>
          </w:rPr>
          <w:t xml:space="preserve">Monarch Joint Venture, 2020</w:t>
        </w:r>
      </w:hyperlink>
      <w:r>
        <w:t xml:space="preserve">).</w:t>
      </w:r>
    </w:p>
    <w:p>
      <w:pPr>
        <w:pStyle w:val="BodyText"/>
      </w:pPr>
      <w:r>
        <w:t xml:space="preserve">Even with planned burns, a 2024 study in Georgia (US) pine forests found that pollinator diversity fell towards the centre of burned areas and showed no substantial recovery within the three-year burn cycle (</w:t>
      </w:r>
      <w:hyperlink r:id="rId33">
        <w:r>
          <w:rPr>
            <w:rStyle w:val="Hyperlink"/>
          </w:rPr>
          <w:t xml:space="preserve">Ulyshen et al., 2024</w:t>
        </w:r>
      </w:hyperlink>
      <w:r>
        <w:t xml:space="preserve">). By contrast, in fire-adapted pine savannas in North Carolina, areas with low-intensity winter burns had more than twice as many bees as areas unburned for over 50 years (</w:t>
      </w:r>
      <w:hyperlink r:id="rId35">
        <w:r>
          <w:rPr>
            <w:rStyle w:val="Hyperlink"/>
          </w:rPr>
          <w:t xml:space="preserve">NC State, 2020</w:t>
        </w:r>
      </w:hyperlink>
      <w:r>
        <w:t xml:space="preserve">). The harm depends on the size, intensity and frequency of the fire.</w:t>
      </w:r>
    </w:p>
    <w:p>
      <w:pPr>
        <w:spacing w:after="60"/>
        <w:jc w:val="center"/>
      </w:pPr>
      <w:r>
        <w:drawing>
          <wp:inline>
            <wp:extent cx="3749039" cy="2811779"/>
            <wp:docPr id="2" name="Picture 2"/>
            <wp:cNvGraphicFramePr>
              <a:graphicFrameLocks noChangeAspect="1"/>
            </wp:cNvGraphicFramePr>
            <a:graphic>
              <a:graphicData uri="http://schemas.openxmlformats.org/drawingml/2006/picture">
                <pic:pic>
                  <pic:nvPicPr>
                    <pic:cNvPr id="0" name="deer-creek-fire-2026.jpg"/>
                    <pic:cNvPicPr/>
                  </pic:nvPicPr>
                  <pic:blipFill>
                    <a:blip r:embed="rId11"/>
                    <a:stretch>
                      <a:fillRect/>
                    </a:stretch>
                  </pic:blipFill>
                  <pic:spPr>
                    <a:xfrm>
                      <a:off x="0" y="0"/>
                      <a:ext cx="3749039" cy="2811779"/>
                    </a:xfrm>
                    <a:prstGeom prst="rect"/>
                  </pic:spPr>
                </pic:pic>
              </a:graphicData>
            </a:graphic>
          </wp:inline>
        </w:drawing>
      </w:r>
    </w:p>
    <w:p>
      <w:pPr>
        <w:pStyle w:val="Caption"/>
        <w:jc w:val="center"/>
      </w:pPr>
      <w:r>
        <w:t xml:space="preserve">Deer Creek Fire, Montana, 2026. Photo: Montana DNRC via National Interagency Fire Center.  </w:t>
      </w:r>
      <w:hyperlink r:id="rId12">
        <w:r>
          <w:t>https://www.flickr.com/photos/nifc/55527268862/</w:t>
        </w:r>
      </w:hyperlink>
    </w:p>
    <w:bookmarkEnd w:id="36"/>
    <w:bookmarkStart w:id="42" w:name="X85cf3eb678771cf9282dc5041666042af0b7a5b"/>
    <w:p>
      <w:pPr>
        <w:pStyle w:val="Heading1"/>
      </w:pPr>
      <w:r>
        <w:t xml:space="preserve">English · Europe, Africa and the Canary Islands</w:t>
      </w:r>
    </w:p>
    <w:p>
      <w:pPr>
        <w:pStyle w:val="FirstParagraph"/>
      </w:pPr>
      <w:r>
        <w:t xml:space="preserve">Studies on fire and pollinators give highly variable results and are almost absent for Africa, the tropics and the Canary Islands; this is what is documented.</w:t>
      </w:r>
    </w:p>
    <w:p>
      <w:pPr>
        <w:numPr>
          <w:ilvl w:val="0"/>
          <w:numId w:val="1001"/>
        </w:numPr>
        <w:pStyle w:val="Compact"/>
      </w:pPr>
      <w:r>
        <w:rPr>
          <w:bCs/>
          <w:b/>
        </w:rPr>
        <w:t xml:space="preserve">Greece (Chios island):</w:t>
      </w:r>
      <w:r>
        <w:t xml:space="preserve"> </w:t>
      </w:r>
      <w:r>
        <w:t xml:space="preserve">after a fire of about 14,800 ha in August 2012, hoverflies (pollinating flies) increased in the first flowering season after the fire, and after three years burned and unburned areas had become similar again. The authors warn that three years may not be enough to see full recovery (</w:t>
      </w:r>
      <w:hyperlink r:id="rId37">
        <w:r>
          <w:rPr>
            <w:rStyle w:val="Hyperlink"/>
          </w:rPr>
          <w:t xml:space="preserve">Nakas et al., 2023, Ecology and Evolution</w:t>
        </w:r>
      </w:hyperlink>
      <w:r>
        <w:t xml:space="preserve">).</w:t>
      </w:r>
    </w:p>
    <w:p>
      <w:pPr>
        <w:numPr>
          <w:ilvl w:val="0"/>
          <w:numId w:val="1001"/>
        </w:numPr>
        <w:pStyle w:val="Compact"/>
      </w:pPr>
      <w:r>
        <w:rPr>
          <w:bCs/>
          <w:b/>
        </w:rPr>
        <w:t xml:space="preserve">Spain:</w:t>
      </w:r>
      <w:r>
        <w:t xml:space="preserve"> </w:t>
      </w:r>
      <w:r>
        <w:t xml:space="preserve">a biologist at the University of Vigo explains that there are still no published studies on how the 2025 fires affected pollinators, that the effects of fire are not uniform, and that recurrent or poorly managed fires can erode functional diversity (</w:t>
      </w:r>
      <w:hyperlink r:id="rId38">
        <w:r>
          <w:rPr>
            <w:rStyle w:val="Hyperlink"/>
          </w:rPr>
          <w:t xml:space="preserve">Luis Navarro, 2025</w:t>
        </w:r>
      </w:hyperlink>
      <w:r>
        <w:t xml:space="preserve">).</w:t>
      </w:r>
    </w:p>
    <w:p>
      <w:pPr>
        <w:numPr>
          <w:ilvl w:val="0"/>
          <w:numId w:val="1001"/>
        </w:numPr>
        <w:pStyle w:val="Compact"/>
      </w:pPr>
      <w:r>
        <w:rPr>
          <w:bCs/>
          <w:b/>
        </w:rPr>
        <w:t xml:space="preserve">Canary Islands (Tenerife, 2023):</w:t>
      </w:r>
      <w:r>
        <w:t xml:space="preserve"> </w:t>
      </w:r>
      <w:r>
        <w:t xml:space="preserve">the island council estimated that 2,500 to 3,500 beehives were destroyed, and in many hives that did not burn the heat caused the bees to flee or die (</w:t>
      </w:r>
      <w:hyperlink r:id="rId39">
        <w:r>
          <w:rPr>
            <w:rStyle w:val="Hyperlink"/>
          </w:rPr>
          <w:t xml:space="preserve">COPE / Europa Press</w:t>
        </w:r>
      </w:hyperlink>
      <w:r>
        <w:t xml:space="preserve">). These are managed beehives; I found no studies on wild pollinators after the island fires.</w:t>
      </w:r>
    </w:p>
    <w:p>
      <w:pPr>
        <w:numPr>
          <w:ilvl w:val="0"/>
          <w:numId w:val="1001"/>
        </w:numPr>
        <w:pStyle w:val="Compact"/>
      </w:pPr>
      <w:r>
        <w:rPr>
          <w:bCs/>
          <w:b/>
        </w:rPr>
        <w:t xml:space="preserve">Africa:</w:t>
      </w:r>
      <w:r>
        <w:t xml:space="preserve"> </w:t>
      </w:r>
      <w:r>
        <w:t xml:space="preserve">the painted lady butterfly (</w:t>
      </w:r>
      <w:r>
        <w:rPr>
          <w:iCs/>
          <w:i/>
        </w:rPr>
        <w:t xml:space="preserve">Vanessa cardui</w:t>
      </w:r>
      <w:r>
        <w:t xml:space="preserve">), which migrates between Africa and Europe, breeds in winter in</w:t>
      </w:r>
      <w:r>
        <w:t xml:space="preserve"> </w:t>
      </w:r>
      <w:r>
        <w:t xml:space="preserve">“</w:t>
      </w:r>
      <w:r>
        <w:t xml:space="preserve">subhumid regions near the tropics</w:t>
      </w:r>
      <w:r>
        <w:t xml:space="preserve">”</w:t>
      </w:r>
      <w:r>
        <w:t xml:space="preserve"> </w:t>
      </w:r>
      <w:r>
        <w:t xml:space="preserve">(</w:t>
      </w:r>
      <w:hyperlink r:id="rId40">
        <w:r>
          <w:rPr>
            <w:rStyle w:val="Hyperlink"/>
          </w:rPr>
          <w:t xml:space="preserve">Talavera et al., 2023, PNAS</w:t>
        </w:r>
      </w:hyperlink>
      <w:r>
        <w:t xml:space="preserve">). I found no studies measuring the effect of fire on pollinators in Africa.</w:t>
      </w:r>
    </w:p>
    <w:p>
      <w:pPr>
        <w:numPr>
          <w:ilvl w:val="0"/>
          <w:numId w:val="1001"/>
        </w:numPr>
        <w:pStyle w:val="Compact"/>
      </w:pPr>
      <w:r>
        <w:rPr>
          <w:bCs/>
          <w:b/>
        </w:rPr>
        <w:t xml:space="preserve">World:</w:t>
      </w:r>
      <w:r>
        <w:t xml:space="preserve"> </w:t>
      </w:r>
      <w:r>
        <w:t xml:space="preserve">a 2025 review concludes that</w:t>
      </w:r>
      <w:r>
        <w:t xml:space="preserve"> </w:t>
      </w:r>
      <w:r>
        <w:t xml:space="preserve">“</w:t>
      </w:r>
      <w:r>
        <w:t xml:space="preserve">bee responses to fire were extremely variable</w:t>
      </w:r>
      <w:r>
        <w:t xml:space="preserve">”</w:t>
      </w:r>
      <w:r>
        <w:t xml:space="preserve">, that out-of-season burns are more harmful, that carpenter bee (</w:t>
      </w:r>
      <w:r>
        <w:rPr>
          <w:iCs/>
          <w:i/>
        </w:rPr>
        <w:t xml:space="preserve">Xylocopa</w:t>
      </w:r>
      <w:r>
        <w:t xml:space="preserve">) nests were destroyed after large fires, and that studies are lacking in the Southern Hemisphere and the tropics (</w:t>
      </w:r>
      <w:hyperlink r:id="rId41">
        <w:r>
          <w:rPr>
            <w:rStyle w:val="Hyperlink"/>
          </w:rPr>
          <w:t xml:space="preserve">Prendergast et al., 2025, Biological Reviews</w:t>
        </w:r>
      </w:hyperlink>
      <w:r>
        <w:t xml:space="preserve">).</w:t>
      </w:r>
    </w:p>
    <w:bookmarkEnd w:id="42"/>
    <w:bookmarkStart w:id="47" w:name="english-not-yet-verified"/>
    <w:bookmarkEnd w:id="47"/>
    <w:bookmarkStart w:id="49" w:name="X6418e7926c5e73606194d11a5d97c1df5972677"/>
    <w:bookmarkEnd w:id="49"/>
    <w:bookmarkStart w:id="50" w:name="español-cifras-clave"/>
    <w:p>
      <w:pPr>
        <w:pStyle w:val="Heading1"/>
      </w:pPr>
      <w:r>
        <w:t xml:space="preserve">Español · Cifras clave</w:t>
      </w:r>
    </w:p>
    <w:p>
      <w:pPr>
        <w:pStyle w:val="FirstParagraph"/>
      </w:pPr>
      <w:r>
        <w:t xml:space="preserve">España ha quemado 264.656 ha según el recuento oficial del ministerio (hasta el 31 de agosto) y 300.998 ha según la estimación por satélite (hasta el 1 de octubre); las dos fuentes miden de forma distinta y nunca deben mezclarse en una misma cifra.</w:t>
      </w:r>
    </w:p>
    <w:tbl>
      <w:tblPr>
        <w:tblStyle w:val="Table"/>
        <w:tblW w:type="pct" w:w="500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980"/>
        <w:gridCol w:w="1980"/>
        <w:gridCol w:w="1980"/>
        <w:gridCol w:w="1980"/>
      </w:tblGrid>
      <w:tr>
        <w:trPr>
          <w:tblHeader w:val="true"/>
        </w:trPr>
        <w:tc>
          <w:tcPr>
            <w:shd w:val="clear" w:color="auto" w:fill="E8EEF4"/>
          </w:tcPr>
          <w:p>
            <w:pPr>
              <w:pStyle w:val="Compact"/>
              <w:jc w:val="left"/>
            </w:pPr>
            <w:r>
              <w:rPr>
                <w:b/>
                <w:sz w:val="19"/>
              </w:rPr>
              <w:t xml:space="preserve">Región</w:t>
            </w:r>
          </w:p>
        </w:tc>
        <w:tc>
          <w:tcPr>
            <w:shd w:val="clear" w:color="auto" w:fill="E8EEF4"/>
          </w:tcPr>
          <w:p>
            <w:pPr>
              <w:pStyle w:val="Compact"/>
              <w:jc w:val="left"/>
            </w:pPr>
            <w:r>
              <w:rPr>
                <w:b/>
                <w:sz w:val="19"/>
              </w:rPr>
              <w:t xml:space="preserve">Cifra</w:t>
            </w:r>
          </w:p>
        </w:tc>
        <w:tc>
          <w:tcPr>
            <w:shd w:val="clear" w:color="auto" w:fill="E8EEF4"/>
          </w:tcPr>
          <w:p>
            <w:pPr>
              <w:pStyle w:val="Compact"/>
              <w:jc w:val="left"/>
            </w:pPr>
            <w:r>
              <w:rPr>
                <w:b/>
                <w:sz w:val="19"/>
              </w:rPr>
              <w:t xml:space="preserve">Fuente</w:t>
            </w:r>
          </w:p>
        </w:tc>
        <w:tc>
          <w:tcPr>
            <w:shd w:val="clear" w:color="auto" w:fill="E8EEF4"/>
          </w:tcPr>
          <w:p>
            <w:pPr>
              <w:pStyle w:val="Compact"/>
              <w:jc w:val="left"/>
            </w:pPr>
            <w:r>
              <w:rPr>
                <w:b/>
                <w:sz w:val="19"/>
              </w:rPr>
              <w:t xml:space="preserve">Fecha</w:t>
            </w:r>
          </w:p>
        </w:tc>
      </w:tr>
      <w:tr>
        <w:tc>
          <w:tcPr/>
          <w:p>
            <w:pPr>
              <w:pStyle w:val="Compact"/>
              <w:jc w:val="left"/>
            </w:pPr>
            <w:r>
              <w:rPr>
                <w:sz w:val="19"/>
              </w:rPr>
              <w:t xml:space="preserve">España, recuento oficial (provisional)</w:t>
            </w:r>
          </w:p>
        </w:tc>
        <w:tc>
          <w:tcPr/>
          <w:p>
            <w:pPr>
              <w:pStyle w:val="Compact"/>
              <w:jc w:val="left"/>
            </w:pPr>
            <w:r>
              <w:rPr>
                <w:sz w:val="19"/>
              </w:rPr>
              <w:t xml:space="preserve">264.656 ha; 44 grandes incendios (más de 500 ha)</w:t>
            </w:r>
          </w:p>
        </w:tc>
        <w:tc>
          <w:tcPr/>
          <w:p>
            <w:pPr>
              <w:pStyle w:val="Compact"/>
              <w:jc w:val="left"/>
            </w:pPr>
            <w:hyperlink r:id="rId20">
              <w:r>
                <w:rPr>
                  <w:rStyle w:val="Hyperlink"/>
                </w:rPr>
                <w:t xml:space="preserve">MITECO vía The Objective</w:t>
              </w:r>
            </w:hyperlink>
          </w:p>
        </w:tc>
        <w:tc>
          <w:tcPr/>
          <w:p>
            <w:pPr>
              <w:pStyle w:val="Compact"/>
              <w:jc w:val="left"/>
            </w:pPr>
            <w:r>
              <w:rPr>
                <w:sz w:val="19"/>
              </w:rPr>
              <w:t xml:space="preserve">31 ago 2026</w:t>
            </w:r>
          </w:p>
        </w:tc>
      </w:tr>
      <w:tr>
        <w:tc>
          <w:tcPr/>
          <w:p>
            <w:pPr>
              <w:pStyle w:val="Compact"/>
              <w:jc w:val="left"/>
            </w:pPr>
            <w:r>
              <w:rPr>
                <w:sz w:val="19"/>
              </w:rPr>
              <w:t xml:space="preserve">España, mayor incendio</w:t>
            </w:r>
          </w:p>
        </w:tc>
        <w:tc>
          <w:tcPr/>
          <w:p>
            <w:pPr>
              <w:pStyle w:val="Compact"/>
              <w:jc w:val="left"/>
            </w:pPr>
            <w:r>
              <w:rPr>
                <w:sz w:val="19"/>
              </w:rPr>
              <w:t xml:space="preserve">Niebla (Huelva), 39.821 ha</w:t>
            </w:r>
          </w:p>
        </w:tc>
        <w:tc>
          <w:tcPr/>
          <w:p>
            <w:pPr>
              <w:pStyle w:val="Compact"/>
              <w:jc w:val="left"/>
            </w:pPr>
            <w:hyperlink r:id="rId21">
              <w:r>
                <w:rPr>
                  <w:rStyle w:val="Hyperlink"/>
                </w:rPr>
                <w:t xml:space="preserve">Informe interactivo del MITECO</w:t>
              </w:r>
            </w:hyperlink>
          </w:p>
        </w:tc>
        <w:tc>
          <w:tcPr/>
          <w:p>
            <w:pPr>
              <w:pStyle w:val="Compact"/>
              <w:jc w:val="left"/>
            </w:pPr>
            <w:r>
              <w:rPr>
                <w:sz w:val="19"/>
              </w:rPr>
              <w:t xml:space="preserve">sep 2026</w:t>
            </w:r>
          </w:p>
        </w:tc>
      </w:tr>
      <w:tr>
        <w:tc>
          <w:tcPr/>
          <w:p>
            <w:pPr>
              <w:pStyle w:val="Compact"/>
              <w:jc w:val="left"/>
            </w:pPr>
            <w:r>
              <w:rPr>
                <w:sz w:val="19"/>
              </w:rPr>
              <w:t xml:space="preserve">España, estimación por satélite</w:t>
            </w:r>
          </w:p>
        </w:tc>
        <w:tc>
          <w:tcPr/>
          <w:p>
            <w:pPr>
              <w:pStyle w:val="Compact"/>
              <w:jc w:val="left"/>
            </w:pPr>
            <w:r>
              <w:rPr>
                <w:sz w:val="19"/>
              </w:rPr>
              <w:t xml:space="preserve">300.998 ha; la media para la misma fecha es 88.788 ha</w:t>
            </w:r>
          </w:p>
        </w:tc>
        <w:tc>
          <w:tcPr/>
          <w:p>
            <w:pPr>
              <w:pStyle w:val="Compact"/>
              <w:jc w:val="left"/>
            </w:pPr>
            <w:hyperlink r:id="rId22">
              <w:r>
                <w:rPr>
                  <w:rStyle w:val="Hyperlink"/>
                </w:rPr>
                <w:t xml:space="preserve">EFFIS vía Ecoticias</w:t>
              </w:r>
            </w:hyperlink>
          </w:p>
        </w:tc>
        <w:tc>
          <w:tcPr/>
          <w:p>
            <w:pPr>
              <w:pStyle w:val="Compact"/>
              <w:jc w:val="left"/>
            </w:pPr>
            <w:r>
              <w:rPr>
                <w:sz w:val="19"/>
              </w:rPr>
              <w:t xml:space="preserve">1 oct 2026</w:t>
            </w:r>
          </w:p>
        </w:tc>
      </w:tr>
      <w:tr>
        <w:tc>
          <w:tcPr/>
          <w:p>
            <w:pPr>
              <w:pStyle w:val="Compact"/>
              <w:jc w:val="left"/>
            </w:pPr>
            <w:r>
              <w:rPr>
                <w:sz w:val="19"/>
              </w:rPr>
              <w:t xml:space="preserve">Unión Europea, estimación por satélite</w:t>
            </w:r>
          </w:p>
        </w:tc>
        <w:tc>
          <w:tcPr/>
          <w:p>
            <w:pPr>
              <w:pStyle w:val="Compact"/>
              <w:jc w:val="left"/>
            </w:pPr>
            <w:r>
              <w:rPr>
                <w:sz w:val="19"/>
              </w:rPr>
              <w:t xml:space="preserve">686.071 ha</w:t>
            </w:r>
          </w:p>
        </w:tc>
        <w:tc>
          <w:tcPr/>
          <w:p>
            <w:pPr>
              <w:pStyle w:val="Compact"/>
              <w:jc w:val="left"/>
            </w:pPr>
            <w:hyperlink r:id="rId22">
              <w:r>
                <w:rPr>
                  <w:rStyle w:val="Hyperlink"/>
                </w:rPr>
                <w:t xml:space="preserve">EFFIS vía Ecoticias</w:t>
              </w:r>
            </w:hyperlink>
          </w:p>
        </w:tc>
        <w:tc>
          <w:tcPr/>
          <w:p>
            <w:pPr>
              <w:pStyle w:val="Compact"/>
              <w:jc w:val="left"/>
            </w:pPr>
            <w:r>
              <w:rPr>
                <w:sz w:val="19"/>
              </w:rPr>
              <w:t xml:space="preserve">1 oct 2026</w:t>
            </w:r>
          </w:p>
        </w:tc>
      </w:tr>
      <w:tr>
        <w:tc>
          <w:tcPr/>
          <w:p>
            <w:pPr>
              <w:pStyle w:val="Compact"/>
              <w:jc w:val="left"/>
            </w:pPr>
            <w:r>
              <w:rPr>
                <w:sz w:val="19"/>
              </w:rPr>
              <w:t xml:space="preserve">Canadá</w:t>
            </w:r>
          </w:p>
        </w:tc>
        <w:tc>
          <w:tcPr/>
          <w:p>
            <w:pPr>
              <w:pStyle w:val="Compact"/>
              <w:jc w:val="left"/>
            </w:pPr>
            <w:r>
              <w:rPr>
                <w:sz w:val="19"/>
              </w:rPr>
              <w:t xml:space="preserve">Unos 4,49 millones de ha en 5.132 incendios, cerca de la media de 10 años</w:t>
            </w:r>
          </w:p>
        </w:tc>
        <w:tc>
          <w:tcPr/>
          <w:p>
            <w:pPr>
              <w:pStyle w:val="Compact"/>
              <w:jc w:val="left"/>
            </w:pPr>
            <w:hyperlink r:id="rId23">
              <w:r>
                <w:rPr>
                  <w:rStyle w:val="Hyperlink"/>
                </w:rPr>
                <w:t xml:space="preserve">Previsión estacional del NIFC</w:t>
              </w:r>
            </w:hyperlink>
          </w:p>
        </w:tc>
        <w:tc>
          <w:tcPr/>
          <w:p>
            <w:pPr>
              <w:pStyle w:val="Compact"/>
              <w:jc w:val="left"/>
            </w:pPr>
            <w:r>
              <w:rPr>
                <w:sz w:val="19"/>
              </w:rPr>
              <w:t xml:space="preserve">14 sep 2026</w:t>
            </w:r>
          </w:p>
        </w:tc>
      </w:tr>
    </w:tbl>
    <w:p>
      <w:pPr>
        <w:pStyle w:val="BodyText"/>
      </w:pPr>
      <w:r>
        <w:t xml:space="preserve">El MITECO recopila los partes de las comunidades y sus datos son provisionales; EFFIS estima la superficie quemada a partir de imágenes de satélite.</w:t>
      </w:r>
    </w:p>
    <w:bookmarkEnd w:id="50"/>
    <w:bookmarkStart w:id="51" w:name="español-resto-del-mundo"/>
    <w:p>
      <w:pPr>
        <w:pStyle w:val="Heading1"/>
      </w:pPr>
      <w:r>
        <w:t xml:space="preserve">Español · Resto del mundo</w:t>
      </w:r>
    </w:p>
    <w:p>
      <w:pPr>
        <w:pStyle w:val="FirstParagraph"/>
      </w:pPr>
      <w:r>
        <w:t xml:space="preserve">África concentra el 55,1% de los 112,3 millones de ha quemadas en el mundo hasta el 1 de agosto de 2026, seguida de Asia, Oceanía y Sudamérica; según la fuente, estos totales incluyen incendios forestales, quemas agrícolas y quemas planificadas, así que no deben compararse cifra a cifra con los recuentos de incendios forestales de Europa.</w:t>
      </w:r>
    </w:p>
    <w:tbl>
      <w:tblPr>
        <w:tblStyle w:val="Table"/>
        <w:tblW w:type="pct" w:w="500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2640"/>
        <w:gridCol w:w="2640"/>
        <w:gridCol w:w="2640"/>
      </w:tblGrid>
      <w:tr>
        <w:trPr>
          <w:tblHeader w:val="true"/>
        </w:trPr>
        <w:tc>
          <w:tcPr>
            <w:shd w:val="clear" w:color="auto" w:fill="E8EEF4"/>
          </w:tcPr>
          <w:p>
            <w:pPr>
              <w:pStyle w:val="Compact"/>
              <w:jc w:val="left"/>
            </w:pPr>
            <w:r>
              <w:rPr>
                <w:b/>
                <w:sz w:val="19"/>
              </w:rPr>
              <w:t xml:space="preserve">Región</w:t>
            </w:r>
          </w:p>
        </w:tc>
        <w:tc>
          <w:tcPr>
            <w:shd w:val="clear" w:color="auto" w:fill="E8EEF4"/>
          </w:tcPr>
          <w:p>
            <w:pPr>
              <w:pStyle w:val="Compact"/>
              <w:jc w:val="right"/>
            </w:pPr>
            <w:r>
              <w:rPr>
                <w:b/>
                <w:sz w:val="19"/>
              </w:rPr>
              <w:t xml:space="preserve">Superficie quemada hasta el 1 ago 2026 (ha)</w:t>
            </w:r>
          </w:p>
        </w:tc>
        <w:tc>
          <w:tcPr>
            <w:shd w:val="clear" w:color="auto" w:fill="E8EEF4"/>
          </w:tcPr>
          <w:p>
            <w:pPr>
              <w:pStyle w:val="Compact"/>
              <w:jc w:val="right"/>
            </w:pPr>
            <w:r>
              <w:rPr>
                <w:b/>
                <w:sz w:val="19"/>
              </w:rPr>
              <w:t xml:space="preserve">Peso sobre el mundo</w:t>
            </w:r>
          </w:p>
        </w:tc>
      </w:tr>
      <w:tr>
        <w:tc>
          <w:tcPr/>
          <w:p>
            <w:pPr>
              <w:pStyle w:val="Compact"/>
              <w:jc w:val="left"/>
            </w:pPr>
            <w:r>
              <w:rPr>
                <w:sz w:val="19"/>
              </w:rPr>
              <w:t xml:space="preserve">África</w:t>
            </w:r>
          </w:p>
        </w:tc>
        <w:tc>
          <w:tcPr/>
          <w:p>
            <w:pPr>
              <w:pStyle w:val="Compact"/>
              <w:jc w:val="right"/>
            </w:pPr>
            <w:r>
              <w:rPr>
                <w:sz w:val="19"/>
              </w:rPr>
              <w:t xml:space="preserve">61.870.300</w:t>
            </w:r>
          </w:p>
        </w:tc>
        <w:tc>
          <w:tcPr/>
          <w:p>
            <w:pPr>
              <w:pStyle w:val="Compact"/>
              <w:jc w:val="right"/>
            </w:pPr>
            <w:r>
              <w:rPr>
                <w:sz w:val="19"/>
              </w:rPr>
              <w:t xml:space="preserve">55,1%</w:t>
            </w:r>
          </w:p>
        </w:tc>
      </w:tr>
      <w:tr>
        <w:tc>
          <w:tcPr/>
          <w:p>
            <w:pPr>
              <w:pStyle w:val="Compact"/>
              <w:jc w:val="left"/>
            </w:pPr>
            <w:r>
              <w:rPr>
                <w:sz w:val="19"/>
              </w:rPr>
              <w:t xml:space="preserve">Asia</w:t>
            </w:r>
          </w:p>
        </w:tc>
        <w:tc>
          <w:tcPr/>
          <w:p>
            <w:pPr>
              <w:pStyle w:val="Compact"/>
              <w:jc w:val="right"/>
            </w:pPr>
            <w:r>
              <w:rPr>
                <w:sz w:val="19"/>
              </w:rPr>
              <w:t xml:space="preserve">19.733.182</w:t>
            </w:r>
          </w:p>
        </w:tc>
        <w:tc>
          <w:tcPr/>
          <w:p>
            <w:pPr>
              <w:pStyle w:val="Compact"/>
              <w:jc w:val="right"/>
            </w:pPr>
            <w:r>
              <w:rPr>
                <w:sz w:val="19"/>
              </w:rPr>
              <w:t xml:space="preserve">17,6%</w:t>
            </w:r>
          </w:p>
        </w:tc>
      </w:tr>
      <w:tr>
        <w:tc>
          <w:tcPr/>
          <w:p>
            <w:pPr>
              <w:pStyle w:val="Compact"/>
              <w:jc w:val="left"/>
            </w:pPr>
            <w:r>
              <w:rPr>
                <w:sz w:val="19"/>
              </w:rPr>
              <w:t xml:space="preserve">Oceanía</w:t>
            </w:r>
          </w:p>
        </w:tc>
        <w:tc>
          <w:tcPr/>
          <w:p>
            <w:pPr>
              <w:pStyle w:val="Compact"/>
              <w:jc w:val="right"/>
            </w:pPr>
            <w:r>
              <w:rPr>
                <w:sz w:val="19"/>
              </w:rPr>
              <w:t xml:space="preserve">12.061.714</w:t>
            </w:r>
          </w:p>
        </w:tc>
        <w:tc>
          <w:tcPr/>
          <w:p>
            <w:pPr>
              <w:pStyle w:val="Compact"/>
              <w:jc w:val="right"/>
            </w:pPr>
            <w:r>
              <w:rPr>
                <w:sz w:val="19"/>
              </w:rPr>
              <w:t xml:space="preserve">10,7%</w:t>
            </w:r>
          </w:p>
        </w:tc>
      </w:tr>
      <w:tr>
        <w:tc>
          <w:tcPr/>
          <w:p>
            <w:pPr>
              <w:pStyle w:val="Compact"/>
              <w:jc w:val="left"/>
            </w:pPr>
            <w:r>
              <w:rPr>
                <w:sz w:val="19"/>
              </w:rPr>
              <w:t xml:space="preserve">Sudamérica</w:t>
            </w:r>
          </w:p>
        </w:tc>
        <w:tc>
          <w:tcPr/>
          <w:p>
            <w:pPr>
              <w:pStyle w:val="Compact"/>
              <w:jc w:val="right"/>
            </w:pPr>
            <w:r>
              <w:rPr>
                <w:sz w:val="19"/>
              </w:rPr>
              <w:t xml:space="preserve">7.813.377</w:t>
            </w:r>
          </w:p>
        </w:tc>
        <w:tc>
          <w:tcPr/>
          <w:p>
            <w:pPr>
              <w:pStyle w:val="Compact"/>
              <w:jc w:val="right"/>
            </w:pPr>
            <w:r>
              <w:rPr>
                <w:sz w:val="19"/>
              </w:rPr>
              <w:t xml:space="preserve">7,0%</w:t>
            </w:r>
          </w:p>
        </w:tc>
      </w:tr>
      <w:tr>
        <w:tc>
          <w:tcPr/>
          <w:p>
            <w:pPr>
              <w:pStyle w:val="Compact"/>
              <w:jc w:val="left"/>
            </w:pPr>
            <w:r>
              <w:rPr>
                <w:sz w:val="19"/>
              </w:rPr>
              <w:t xml:space="preserve">Norteamérica</w:t>
            </w:r>
          </w:p>
        </w:tc>
        <w:tc>
          <w:tcPr/>
          <w:p>
            <w:pPr>
              <w:pStyle w:val="Compact"/>
              <w:jc w:val="right"/>
            </w:pPr>
            <w:r>
              <w:rPr>
                <w:sz w:val="19"/>
              </w:rPr>
              <w:t xml:space="preserve">6.804.905</w:t>
            </w:r>
          </w:p>
        </w:tc>
        <w:tc>
          <w:tcPr/>
          <w:p>
            <w:pPr>
              <w:pStyle w:val="Compact"/>
              <w:jc w:val="right"/>
            </w:pPr>
            <w:r>
              <w:rPr>
                <w:sz w:val="19"/>
              </w:rPr>
              <w:t xml:space="preserve">6,1%</w:t>
            </w:r>
          </w:p>
        </w:tc>
      </w:tr>
      <w:tr>
        <w:tc>
          <w:tcPr/>
          <w:p>
            <w:pPr>
              <w:pStyle w:val="Compact"/>
              <w:jc w:val="left"/>
            </w:pPr>
            <w:r>
              <w:rPr>
                <w:sz w:val="19"/>
              </w:rPr>
              <w:t xml:space="preserve">Europa</w:t>
            </w:r>
          </w:p>
        </w:tc>
        <w:tc>
          <w:tcPr/>
          <w:p>
            <w:pPr>
              <w:pStyle w:val="Compact"/>
              <w:jc w:val="right"/>
            </w:pPr>
            <w:r>
              <w:rPr>
                <w:sz w:val="19"/>
              </w:rPr>
              <w:t xml:space="preserve">3.992.404</w:t>
            </w:r>
          </w:p>
        </w:tc>
        <w:tc>
          <w:tcPr/>
          <w:p>
            <w:pPr>
              <w:pStyle w:val="Compact"/>
              <w:jc w:val="right"/>
            </w:pPr>
            <w:r>
              <w:rPr>
                <w:sz w:val="19"/>
              </w:rPr>
              <w:t xml:space="preserve">3,6%</w:t>
            </w:r>
          </w:p>
        </w:tc>
      </w:tr>
      <w:tr>
        <w:tc>
          <w:tcPr/>
          <w:p>
            <w:pPr>
              <w:pStyle w:val="Compact"/>
              <w:jc w:val="left"/>
            </w:pPr>
            <w:r>
              <w:rPr>
                <w:sz w:val="19"/>
              </w:rPr>
              <w:t xml:space="preserve">Mundo</w:t>
            </w:r>
          </w:p>
        </w:tc>
        <w:tc>
          <w:tcPr/>
          <w:p>
            <w:pPr>
              <w:pStyle w:val="Compact"/>
              <w:jc w:val="right"/>
            </w:pPr>
            <w:r>
              <w:rPr>
                <w:sz w:val="19"/>
              </w:rPr>
              <w:t xml:space="preserve">112.275.880</w:t>
            </w:r>
          </w:p>
        </w:tc>
        <w:tc>
          <w:tcPr/>
          <w:p>
            <w:pPr>
              <w:pStyle w:val="Compact"/>
              <w:jc w:val="right"/>
            </w:pPr>
            <w:r>
              <w:rPr>
                <w:sz w:val="19"/>
              </w:rPr>
              <w:t xml:space="preserve">100%</w:t>
            </w:r>
          </w:p>
        </w:tc>
      </w:tr>
    </w:tbl>
    <w:p>
      <w:pPr>
        <w:pStyle w:val="BodyText"/>
      </w:pPr>
      <w:r>
        <w:t xml:space="preserve">Fuente de ambas tablas:</w:t>
      </w:r>
      <w:r>
        <w:t xml:space="preserve"> </w:t>
      </w:r>
      <w:hyperlink r:id="rId25">
        <w:r>
          <w:rPr>
            <w:rStyle w:val="Hyperlink"/>
          </w:rPr>
          <w:t xml:space="preserve">datos de GWIS vía Visual Capitalist</w:t>
        </w:r>
      </w:hyperlink>
      <w:r>
        <w:t xml:space="preserve">, publicados el 13 de agosto de 2026.</w:t>
      </w:r>
    </w:p>
    <w:tbl>
      <w:tblPr>
        <w:tblStyle w:val="Table"/>
        <w:tblW w:type="pct" w:w="500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2640"/>
        <w:gridCol w:w="2640"/>
        <w:gridCol w:w="2640"/>
      </w:tblGrid>
      <w:tr>
        <w:trPr>
          <w:tblHeader w:val="true"/>
        </w:trPr>
        <w:tc>
          <w:tcPr>
            <w:shd w:val="clear" w:color="auto" w:fill="E8EEF4"/>
          </w:tcPr>
          <w:p>
            <w:pPr>
              <w:pStyle w:val="Compact"/>
              <w:jc w:val="left"/>
            </w:pPr>
            <w:r>
              <w:rPr>
                <w:b/>
                <w:sz w:val="19"/>
              </w:rPr>
              <w:t xml:space="preserve">País</w:t>
            </w:r>
          </w:p>
        </w:tc>
        <w:tc>
          <w:tcPr>
            <w:shd w:val="clear" w:color="auto" w:fill="E8EEF4"/>
          </w:tcPr>
          <w:p>
            <w:pPr>
              <w:pStyle w:val="Compact"/>
              <w:jc w:val="right"/>
            </w:pPr>
            <w:r>
              <w:rPr>
                <w:b/>
                <w:sz w:val="19"/>
              </w:rPr>
              <w:t xml:space="preserve">Superficie quemada hasta el 1 ago 2026 (ha)</w:t>
            </w:r>
          </w:p>
        </w:tc>
        <w:tc>
          <w:tcPr>
            <w:shd w:val="clear" w:color="auto" w:fill="E8EEF4"/>
          </w:tcPr>
          <w:p>
            <w:pPr>
              <w:pStyle w:val="Compact"/>
              <w:jc w:val="right"/>
            </w:pPr>
            <w:r>
              <w:rPr>
                <w:b/>
                <w:sz w:val="19"/>
              </w:rPr>
              <w:t xml:space="preserve">Peso sobre el mundo</w:t>
            </w:r>
          </w:p>
        </w:tc>
      </w:tr>
      <w:tr>
        <w:tc>
          <w:tcPr/>
          <w:p>
            <w:pPr>
              <w:pStyle w:val="Compact"/>
              <w:jc w:val="left"/>
            </w:pPr>
            <w:r>
              <w:rPr>
                <w:sz w:val="19"/>
              </w:rPr>
              <w:t xml:space="preserve">RD Congo</w:t>
            </w:r>
          </w:p>
        </w:tc>
        <w:tc>
          <w:tcPr/>
          <w:p>
            <w:pPr>
              <w:pStyle w:val="Compact"/>
              <w:jc w:val="right"/>
            </w:pPr>
            <w:r>
              <w:rPr>
                <w:sz w:val="19"/>
              </w:rPr>
              <w:t xml:space="preserve">13.611.126</w:t>
            </w:r>
          </w:p>
        </w:tc>
        <w:tc>
          <w:tcPr/>
          <w:p>
            <w:pPr>
              <w:pStyle w:val="Compact"/>
              <w:jc w:val="right"/>
            </w:pPr>
            <w:r>
              <w:rPr>
                <w:sz w:val="19"/>
              </w:rPr>
              <w:t xml:space="preserve">12,1%</w:t>
            </w:r>
          </w:p>
        </w:tc>
      </w:tr>
      <w:tr>
        <w:tc>
          <w:tcPr/>
          <w:p>
            <w:pPr>
              <w:pStyle w:val="Compact"/>
              <w:jc w:val="left"/>
            </w:pPr>
            <w:r>
              <w:rPr>
                <w:sz w:val="19"/>
              </w:rPr>
              <w:t xml:space="preserve">Angola</w:t>
            </w:r>
          </w:p>
        </w:tc>
        <w:tc>
          <w:tcPr/>
          <w:p>
            <w:pPr>
              <w:pStyle w:val="Compact"/>
              <w:jc w:val="right"/>
            </w:pPr>
            <w:r>
              <w:rPr>
                <w:sz w:val="19"/>
              </w:rPr>
              <w:t xml:space="preserve">7.473.034</w:t>
            </w:r>
          </w:p>
        </w:tc>
        <w:tc>
          <w:tcPr/>
          <w:p>
            <w:pPr>
              <w:pStyle w:val="Compact"/>
              <w:jc w:val="right"/>
            </w:pPr>
            <w:r>
              <w:rPr>
                <w:sz w:val="19"/>
              </w:rPr>
              <w:t xml:space="preserve">6,7%</w:t>
            </w:r>
          </w:p>
        </w:tc>
      </w:tr>
      <w:tr>
        <w:tc>
          <w:tcPr/>
          <w:p>
            <w:pPr>
              <w:pStyle w:val="Compact"/>
              <w:jc w:val="left"/>
            </w:pPr>
            <w:r>
              <w:rPr>
                <w:sz w:val="19"/>
              </w:rPr>
              <w:t xml:space="preserve">Rusia</w:t>
            </w:r>
          </w:p>
        </w:tc>
        <w:tc>
          <w:tcPr/>
          <w:p>
            <w:pPr>
              <w:pStyle w:val="Compact"/>
              <w:jc w:val="right"/>
            </w:pPr>
            <w:r>
              <w:rPr>
                <w:sz w:val="19"/>
              </w:rPr>
              <w:t xml:space="preserve">3.335.029</w:t>
            </w:r>
          </w:p>
        </w:tc>
        <w:tc>
          <w:tcPr/>
          <w:p>
            <w:pPr>
              <w:pStyle w:val="Compact"/>
              <w:jc w:val="right"/>
            </w:pPr>
            <w:r>
              <w:rPr>
                <w:sz w:val="19"/>
              </w:rPr>
              <w:t xml:space="preserve">3,0%</w:t>
            </w:r>
          </w:p>
        </w:tc>
      </w:tr>
      <w:tr>
        <w:tc>
          <w:tcPr/>
          <w:p>
            <w:pPr>
              <w:pStyle w:val="Compact"/>
              <w:jc w:val="left"/>
            </w:pPr>
            <w:r>
              <w:rPr>
                <w:sz w:val="19"/>
              </w:rPr>
              <w:t xml:space="preserve">Venezuela</w:t>
            </w:r>
          </w:p>
        </w:tc>
        <w:tc>
          <w:tcPr/>
          <w:p>
            <w:pPr>
              <w:pStyle w:val="Compact"/>
              <w:jc w:val="right"/>
            </w:pPr>
            <w:r>
              <w:rPr>
                <w:sz w:val="19"/>
              </w:rPr>
              <w:t xml:space="preserve">2.977.466</w:t>
            </w:r>
          </w:p>
        </w:tc>
        <w:tc>
          <w:tcPr/>
          <w:p>
            <w:pPr>
              <w:pStyle w:val="Compact"/>
              <w:jc w:val="right"/>
            </w:pPr>
            <w:r>
              <w:rPr>
                <w:sz w:val="19"/>
              </w:rPr>
              <w:t xml:space="preserve">2,7%</w:t>
            </w:r>
          </w:p>
        </w:tc>
      </w:tr>
      <w:tr>
        <w:tc>
          <w:tcPr/>
          <w:p>
            <w:pPr>
              <w:pStyle w:val="Compact"/>
              <w:jc w:val="left"/>
            </w:pPr>
            <w:r>
              <w:rPr>
                <w:sz w:val="19"/>
              </w:rPr>
              <w:t xml:space="preserve">Estados Unidos</w:t>
            </w:r>
          </w:p>
        </w:tc>
        <w:tc>
          <w:tcPr/>
          <w:p>
            <w:pPr>
              <w:pStyle w:val="Compact"/>
              <w:jc w:val="right"/>
            </w:pPr>
            <w:r>
              <w:rPr>
                <w:sz w:val="19"/>
              </w:rPr>
              <w:t xml:space="preserve">2.371.207</w:t>
            </w:r>
          </w:p>
        </w:tc>
        <w:tc>
          <w:tcPr/>
          <w:p>
            <w:pPr>
              <w:pStyle w:val="Compact"/>
              <w:jc w:val="right"/>
            </w:pPr>
            <w:r>
              <w:rPr>
                <w:sz w:val="19"/>
              </w:rPr>
              <w:t xml:space="preserve">2,1%</w:t>
            </w:r>
          </w:p>
        </w:tc>
      </w:tr>
      <w:tr>
        <w:tc>
          <w:tcPr/>
          <w:p>
            <w:pPr>
              <w:pStyle w:val="Compact"/>
              <w:jc w:val="left"/>
            </w:pPr>
            <w:r>
              <w:rPr>
                <w:sz w:val="19"/>
              </w:rPr>
              <w:t xml:space="preserve">Canadá</w:t>
            </w:r>
          </w:p>
        </w:tc>
        <w:tc>
          <w:tcPr/>
          <w:p>
            <w:pPr>
              <w:pStyle w:val="Compact"/>
              <w:jc w:val="right"/>
            </w:pPr>
            <w:r>
              <w:rPr>
                <w:sz w:val="19"/>
              </w:rPr>
              <w:t xml:space="preserve">2.031.754</w:t>
            </w:r>
          </w:p>
        </w:tc>
        <w:tc>
          <w:tcPr/>
          <w:p>
            <w:pPr>
              <w:pStyle w:val="Compact"/>
              <w:jc w:val="right"/>
            </w:pPr>
            <w:r>
              <w:rPr>
                <w:sz w:val="19"/>
              </w:rPr>
              <w:t xml:space="preserve">1,8%</w:t>
            </w:r>
          </w:p>
        </w:tc>
      </w:tr>
      <w:tr>
        <w:tc>
          <w:tcPr/>
          <w:p>
            <w:pPr>
              <w:pStyle w:val="Compact"/>
              <w:jc w:val="left"/>
            </w:pPr>
            <w:r>
              <w:rPr>
                <w:sz w:val="19"/>
              </w:rPr>
              <w:t xml:space="preserve">Brasil</w:t>
            </w:r>
          </w:p>
        </w:tc>
        <w:tc>
          <w:tcPr/>
          <w:p>
            <w:pPr>
              <w:pStyle w:val="Compact"/>
              <w:jc w:val="right"/>
            </w:pPr>
            <w:r>
              <w:rPr>
                <w:sz w:val="19"/>
              </w:rPr>
              <w:t xml:space="preserve">2.030.209</w:t>
            </w:r>
          </w:p>
        </w:tc>
        <w:tc>
          <w:tcPr/>
          <w:p>
            <w:pPr>
              <w:pStyle w:val="Compact"/>
              <w:jc w:val="right"/>
            </w:pPr>
            <w:r>
              <w:rPr>
                <w:sz w:val="19"/>
              </w:rPr>
              <w:t xml:space="preserve">1,8%</w:t>
            </w:r>
          </w:p>
        </w:tc>
      </w:tr>
      <w:tr>
        <w:tc>
          <w:tcPr/>
          <w:p>
            <w:pPr>
              <w:pStyle w:val="Compact"/>
              <w:jc w:val="left"/>
            </w:pPr>
            <w:r>
              <w:rPr>
                <w:sz w:val="19"/>
              </w:rPr>
              <w:t xml:space="preserve">Sudáfrica</w:t>
            </w:r>
          </w:p>
        </w:tc>
        <w:tc>
          <w:tcPr/>
          <w:p>
            <w:pPr>
              <w:pStyle w:val="Compact"/>
              <w:jc w:val="right"/>
            </w:pPr>
            <w:r>
              <w:rPr>
                <w:sz w:val="19"/>
              </w:rPr>
              <w:t xml:space="preserve">784.647</w:t>
            </w:r>
          </w:p>
        </w:tc>
        <w:tc>
          <w:tcPr/>
          <w:p>
            <w:pPr>
              <w:pStyle w:val="Compact"/>
              <w:jc w:val="right"/>
            </w:pPr>
            <w:r>
              <w:rPr>
                <w:sz w:val="19"/>
              </w:rPr>
              <w:t xml:space="preserve">0,7%</w:t>
            </w:r>
          </w:p>
        </w:tc>
      </w:tr>
      <w:tr>
        <w:tc>
          <w:tcPr/>
          <w:p>
            <w:pPr>
              <w:pStyle w:val="Compact"/>
              <w:jc w:val="left"/>
            </w:pPr>
            <w:r>
              <w:rPr>
                <w:sz w:val="19"/>
              </w:rPr>
              <w:t xml:space="preserve">Bolivia</w:t>
            </w:r>
          </w:p>
        </w:tc>
        <w:tc>
          <w:tcPr/>
          <w:p>
            <w:pPr>
              <w:pStyle w:val="Compact"/>
              <w:jc w:val="right"/>
            </w:pPr>
            <w:r>
              <w:rPr>
                <w:sz w:val="19"/>
              </w:rPr>
              <w:t xml:space="preserve">546.490</w:t>
            </w:r>
          </w:p>
        </w:tc>
        <w:tc>
          <w:tcPr/>
          <w:p>
            <w:pPr>
              <w:pStyle w:val="Compact"/>
              <w:jc w:val="right"/>
            </w:pPr>
            <w:r>
              <w:rPr>
                <w:sz w:val="19"/>
              </w:rPr>
              <w:t xml:space="preserve">0,5%</w:t>
            </w:r>
          </w:p>
        </w:tc>
      </w:tr>
    </w:tbl>
    <w:p>
      <w:pPr>
        <w:pStyle w:val="BodyText"/>
      </w:pPr>
      <w:r>
        <w:t xml:space="preserve">Informes nacionales más recientes:</w:t>
      </w:r>
    </w:p>
    <w:tbl>
      <w:tblPr>
        <w:tblStyle w:val="Table"/>
        <w:tblW w:type="pct" w:w="5000"/>
        <w:tblLook w:firstRow="1" w:lastRow="0" w:firstColumn="0" w:lastColumn="0" w:noHBand="0" w:noVBand="0" w:val="0020"/>
        <w:jc w:val="star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980"/>
        <w:gridCol w:w="1980"/>
        <w:gridCol w:w="1980"/>
        <w:gridCol w:w="1980"/>
      </w:tblGrid>
      <w:tr>
        <w:trPr>
          <w:tblHeader w:val="true"/>
        </w:trPr>
        <w:tc>
          <w:tcPr>
            <w:shd w:val="clear" w:color="auto" w:fill="E8EEF4"/>
          </w:tcPr>
          <w:p>
            <w:pPr>
              <w:pStyle w:val="Compact"/>
              <w:jc w:val="left"/>
            </w:pPr>
            <w:r>
              <w:rPr>
                <w:b/>
                <w:sz w:val="19"/>
              </w:rPr>
              <w:t xml:space="preserve">País</w:t>
            </w:r>
          </w:p>
        </w:tc>
        <w:tc>
          <w:tcPr>
            <w:shd w:val="clear" w:color="auto" w:fill="E8EEF4"/>
          </w:tcPr>
          <w:p>
            <w:pPr>
              <w:pStyle w:val="Compact"/>
              <w:jc w:val="left"/>
            </w:pPr>
            <w:r>
              <w:rPr>
                <w:b/>
                <w:sz w:val="19"/>
              </w:rPr>
              <w:t xml:space="preserve">Última cifra</w:t>
            </w:r>
          </w:p>
        </w:tc>
        <w:tc>
          <w:tcPr>
            <w:shd w:val="clear" w:color="auto" w:fill="E8EEF4"/>
          </w:tcPr>
          <w:p>
            <w:pPr>
              <w:pStyle w:val="Compact"/>
              <w:jc w:val="left"/>
            </w:pPr>
            <w:r>
              <w:rPr>
                <w:b/>
                <w:sz w:val="19"/>
              </w:rPr>
              <w:t xml:space="preserve">Fuente</w:t>
            </w:r>
          </w:p>
        </w:tc>
        <w:tc>
          <w:tcPr>
            <w:shd w:val="clear" w:color="auto" w:fill="E8EEF4"/>
          </w:tcPr>
          <w:p>
            <w:pPr>
              <w:pStyle w:val="Compact"/>
              <w:jc w:val="left"/>
            </w:pPr>
            <w:r>
              <w:rPr>
                <w:b/>
                <w:sz w:val="19"/>
              </w:rPr>
              <w:t xml:space="preserve">Fecha</w:t>
            </w:r>
          </w:p>
        </w:tc>
      </w:tr>
      <w:tr>
        <w:tc>
          <w:tcPr/>
          <w:p>
            <w:pPr>
              <w:pStyle w:val="Compact"/>
              <w:jc w:val="left"/>
            </w:pPr>
            <w:r>
              <w:rPr>
                <w:sz w:val="19"/>
              </w:rPr>
              <w:t xml:space="preserve">Estados Unidos</w:t>
            </w:r>
          </w:p>
        </w:tc>
        <w:tc>
          <w:tcPr/>
          <w:p>
            <w:pPr>
              <w:pStyle w:val="Compact"/>
              <w:jc w:val="left"/>
            </w:pPr>
            <w:r>
              <w:rPr>
                <w:sz w:val="19"/>
              </w:rPr>
              <w:t xml:space="preserve">9.000.619 acres (unos 3,64 millones de ha) en 62.738 incendios; la media de 10 años es 6.106.514 acres</w:t>
            </w:r>
          </w:p>
        </w:tc>
        <w:tc>
          <w:tcPr/>
          <w:p>
            <w:pPr>
              <w:pStyle w:val="Compact"/>
              <w:jc w:val="left"/>
            </w:pPr>
            <w:hyperlink r:id="rId27">
              <w:r>
                <w:rPr>
                  <w:rStyle w:val="Hyperlink"/>
                </w:rPr>
                <w:t xml:space="preserve">NIFC</w:t>
              </w:r>
            </w:hyperlink>
          </w:p>
        </w:tc>
        <w:tc>
          <w:tcPr/>
          <w:p>
            <w:pPr>
              <w:pStyle w:val="Compact"/>
              <w:jc w:val="left"/>
            </w:pPr>
            <w:r>
              <w:rPr>
                <w:sz w:val="19"/>
              </w:rPr>
              <w:t xml:space="preserve">2 oct 2026</w:t>
            </w:r>
          </w:p>
        </w:tc>
      </w:tr>
      <w:tr>
        <w:tc>
          <w:tcPr/>
          <w:p>
            <w:pPr>
              <w:pStyle w:val="Compact"/>
              <w:jc w:val="left"/>
            </w:pPr>
            <w:r>
              <w:rPr>
                <w:sz w:val="19"/>
              </w:rPr>
              <w:t xml:space="preserve">Rusia</w:t>
            </w:r>
          </w:p>
        </w:tc>
        <w:tc>
          <w:tcPr/>
          <w:p>
            <w:pPr>
              <w:pStyle w:val="Compact"/>
              <w:jc w:val="left"/>
            </w:pPr>
            <w:r>
              <w:rPr>
                <w:sz w:val="19"/>
              </w:rPr>
              <w:t xml:space="preserve">Más de 1,3 millones de ha ardiendo a la vez (no es un total de temporada); Sakha 987.067 ha, Krasnoyarsk 405.800 ha</w:t>
            </w:r>
          </w:p>
        </w:tc>
        <w:tc>
          <w:tcPr/>
          <w:p>
            <w:pPr>
              <w:pStyle w:val="Compact"/>
              <w:jc w:val="left"/>
            </w:pPr>
            <w:hyperlink r:id="rId28">
              <w:r>
                <w:rPr>
                  <w:rStyle w:val="Hyperlink"/>
                </w:rPr>
                <w:t xml:space="preserve">Moscow Times, citando al Servicio de Protección Forestal Aérea</w:t>
              </w:r>
            </w:hyperlink>
          </w:p>
        </w:tc>
        <w:tc>
          <w:tcPr/>
          <w:p>
            <w:pPr>
              <w:pStyle w:val="Compact"/>
              <w:jc w:val="left"/>
            </w:pPr>
            <w:r>
              <w:rPr>
                <w:sz w:val="19"/>
              </w:rPr>
              <w:t xml:space="preserve">24 ago 2026</w:t>
            </w:r>
          </w:p>
        </w:tc>
      </w:tr>
      <w:tr>
        <w:tc>
          <w:tcPr/>
          <w:p>
            <w:pPr>
              <w:pStyle w:val="Compact"/>
              <w:jc w:val="left"/>
            </w:pPr>
            <w:r>
              <w:rPr>
                <w:sz w:val="19"/>
              </w:rPr>
              <w:t xml:space="preserve">Brasil (estado de Amazonas)</w:t>
            </w:r>
          </w:p>
        </w:tc>
        <w:tc>
          <w:tcPr/>
          <w:p>
            <w:pPr>
              <w:pStyle w:val="Compact"/>
              <w:jc w:val="left"/>
            </w:pPr>
            <w:r>
              <w:rPr>
                <w:sz w:val="19"/>
              </w:rPr>
              <w:t xml:space="preserve">2.384 focos de calor del 1 al 19 de septiembre, un 282% más que los 624 de 2025</w:t>
            </w:r>
          </w:p>
        </w:tc>
        <w:tc>
          <w:tcPr/>
          <w:p>
            <w:pPr>
              <w:pStyle w:val="Compact"/>
              <w:jc w:val="left"/>
            </w:pPr>
            <w:hyperlink r:id="rId30">
              <w:r>
                <w:rPr>
                  <w:rStyle w:val="Hyperlink"/>
                </w:rPr>
                <w:t xml:space="preserve">INPE vía BNC Amazonas</w:t>
              </w:r>
            </w:hyperlink>
          </w:p>
        </w:tc>
        <w:tc>
          <w:tcPr/>
          <w:p>
            <w:pPr>
              <w:pStyle w:val="Compact"/>
              <w:jc w:val="left"/>
            </w:pPr>
            <w:r>
              <w:rPr>
                <w:sz w:val="19"/>
              </w:rPr>
              <w:t xml:space="preserve">21 sep 2026</w:t>
            </w:r>
          </w:p>
        </w:tc>
      </w:tr>
      <w:tr>
        <w:tc>
          <w:tcPr/>
          <w:p>
            <w:pPr>
              <w:pStyle w:val="Compact"/>
              <w:jc w:val="left"/>
            </w:pPr>
            <w:r>
              <w:rPr>
                <w:sz w:val="19"/>
              </w:rPr>
              <w:t xml:space="preserve">Bolivia</w:t>
            </w:r>
          </w:p>
        </w:tc>
        <w:tc>
          <w:tcPr/>
          <w:p>
            <w:pPr>
              <w:pStyle w:val="Compact"/>
              <w:jc w:val="left"/>
            </w:pPr>
            <w:r>
              <w:rPr>
                <w:sz w:val="19"/>
              </w:rPr>
              <w:t xml:space="preserve">Unas 2.538 ha en el Parque Nacional Otuquis, con más incendios en Santa Cruz y Tarija; no he encontrado un total nacional</w:t>
            </w:r>
          </w:p>
        </w:tc>
        <w:tc>
          <w:tcPr/>
          <w:p>
            <w:pPr>
              <w:pStyle w:val="Compact"/>
              <w:jc w:val="left"/>
            </w:pPr>
            <w:hyperlink r:id="rId31">
              <w:r>
                <w:rPr>
                  <w:rStyle w:val="Hyperlink"/>
                </w:rPr>
                <w:t xml:space="preserve">Infobae</w:t>
              </w:r>
            </w:hyperlink>
          </w:p>
        </w:tc>
        <w:tc>
          <w:tcPr/>
          <w:p>
            <w:pPr>
              <w:pStyle w:val="Compact"/>
              <w:jc w:val="left"/>
            </w:pPr>
            <w:r>
              <w:rPr>
                <w:sz w:val="19"/>
              </w:rPr>
              <w:t xml:space="preserve">20 jul 2026</w:t>
            </w:r>
          </w:p>
        </w:tc>
      </w:tr>
    </w:tbl>
    <w:bookmarkEnd w:id="51"/>
    <w:bookmarkStart w:id="52" w:name="X4a6e5e3c8f65ee856c3cd6a16190dd66712f455"/>
    <w:p>
      <w:pPr>
        <w:pStyle w:val="Heading1"/>
      </w:pPr>
      <w:r>
        <w:t xml:space="preserve">Español · Lo que el fuego supone para los polinizadores</w:t>
      </w:r>
    </w:p>
    <w:p>
      <w:pPr>
        <w:pStyle w:val="FirstParagraph"/>
      </w:pPr>
      <w:r>
        <w:t xml:space="preserve">El fuego puede matar polinizadores, sobre todo los que anidan o se desarrollan sobre el suelo, como las orugas, y eliminar las flores de las que se alimentan (</w:t>
      </w:r>
      <w:hyperlink r:id="rId33">
        <w:r>
          <w:rPr>
            <w:rStyle w:val="Hyperlink"/>
          </w:rPr>
          <w:t xml:space="preserve">Ulyshen et al., 2024</w:t>
        </w:r>
      </w:hyperlink>
      <w:r>
        <w:t xml:space="preserve">). Los incendios grandes y frecuentes pueden eliminar las plantas que alimentan a la mariposa monarca y dañar su hábitat, tanto en los lugares donde pasa el invierno como a lo largo de sus rutas de migración (</w:t>
      </w:r>
      <w:hyperlink r:id="rId34">
        <w:r>
          <w:rPr>
            <w:rStyle w:val="Hyperlink"/>
          </w:rPr>
          <w:t xml:space="preserve">Monarch Joint Venture, 2020</w:t>
        </w:r>
      </w:hyperlink>
      <w:r>
        <w:t xml:space="preserve">).</w:t>
      </w:r>
    </w:p>
    <w:p>
      <w:pPr>
        <w:pStyle w:val="BodyText"/>
      </w:pPr>
      <w:r>
        <w:t xml:space="preserve">Incluso en quemas planificadas, un estudio de 2024 en pinares de Georgia (EE. UU.) observó que la diversidad de polinizadores bajaba hacia el centro de las zonas quemadas y no se recuperaba de forma apreciable durante el ciclo de quemas de tres años (</w:t>
      </w:r>
      <w:hyperlink r:id="rId33">
        <w:r>
          <w:rPr>
            <w:rStyle w:val="Hyperlink"/>
          </w:rPr>
          <w:t xml:space="preserve">Ulyshen et al., 2024</w:t>
        </w:r>
      </w:hyperlink>
      <w:r>
        <w:t xml:space="preserve">). En cambio, en pinares adaptados al fuego de Carolina del Norte, las zonas con quemas suaves de invierno tenían más del doble de abejas que zonas sin quemar desde hacía más de 50 años (</w:t>
      </w:r>
      <w:hyperlink r:id="rId35">
        <w:r>
          <w:rPr>
            <w:rStyle w:val="Hyperlink"/>
          </w:rPr>
          <w:t xml:space="preserve">NC State, 2020</w:t>
        </w:r>
      </w:hyperlink>
      <w:r>
        <w:t xml:space="preserve">). El daño depende del tamaño, la intensidad y la frecuencia del fuego.</w:t>
      </w:r>
    </w:p>
    <w:bookmarkEnd w:id="52"/>
    <w:bookmarkStart w:id="53" w:name="español-europa-áfrica-y-canarias"/>
    <w:p>
      <w:pPr>
        <w:pStyle w:val="Heading1"/>
      </w:pPr>
      <w:r>
        <w:t xml:space="preserve">Español · Europa, África y Canarias</w:t>
      </w:r>
    </w:p>
    <w:p>
      <w:pPr>
        <w:pStyle w:val="FirstParagraph"/>
      </w:pPr>
      <w:r>
        <w:t xml:space="preserve">Los estudios sobre fuego y polinizadores dan resultados muy variables y casi no existen para África, los trópicos ni Canarias; esto es lo que sí está documentado.</w:t>
      </w:r>
    </w:p>
    <w:p>
      <w:pPr>
        <w:numPr>
          <w:ilvl w:val="0"/>
          <w:numId w:val="1004"/>
        </w:numPr>
        <w:pStyle w:val="Compact"/>
      </w:pPr>
      <w:r>
        <w:rPr>
          <w:bCs/>
          <w:b/>
        </w:rPr>
        <w:t xml:space="preserve">Grecia (isla de Quíos):</w:t>
      </w:r>
      <w:r>
        <w:t xml:space="preserve"> </w:t>
      </w:r>
      <w:r>
        <w:t xml:space="preserve">tras un incendio de unas 14.800 ha en agosto de 2012, los sírfidos (moscas polinizadoras) aumentaron en la primera floración después del fuego, y a los tres años las zonas quemadas y las no quemadas ya se parecían. Los autores advierten de que tres años pueden no bastar para ver la recuperación completa (</w:t>
      </w:r>
      <w:hyperlink r:id="rId37">
        <w:r>
          <w:rPr>
            <w:rStyle w:val="Hyperlink"/>
          </w:rPr>
          <w:t xml:space="preserve">Nakas et al., 2023, Ecology and Evolution</w:t>
        </w:r>
      </w:hyperlink>
      <w:r>
        <w:t xml:space="preserve">).</w:t>
      </w:r>
    </w:p>
    <w:p>
      <w:pPr>
        <w:numPr>
          <w:ilvl w:val="0"/>
          <w:numId w:val="1004"/>
        </w:numPr>
        <w:pStyle w:val="Compact"/>
      </w:pPr>
      <w:r>
        <w:rPr>
          <w:bCs/>
          <w:b/>
        </w:rPr>
        <w:t xml:space="preserve">España:</w:t>
      </w:r>
      <w:r>
        <w:t xml:space="preserve"> </w:t>
      </w:r>
      <w:r>
        <w:t xml:space="preserve">un biólogo de la Universidad de Vigo explica que aún no hay estudios publicados sobre el efecto de los incendios de 2025 en los polinizadores, que</w:t>
      </w:r>
      <w:r>
        <w:t xml:space="preserve"> </w:t>
      </w:r>
      <w:r>
        <w:t xml:space="preserve">“</w:t>
      </w:r>
      <w:r>
        <w:t xml:space="preserve">los efectos del fuego no son unívocos</w:t>
      </w:r>
      <w:r>
        <w:t xml:space="preserve">”</w:t>
      </w:r>
      <w:r>
        <w:t xml:space="preserve"> </w:t>
      </w:r>
      <w:r>
        <w:t xml:space="preserve">y que</w:t>
      </w:r>
      <w:r>
        <w:t xml:space="preserve"> </w:t>
      </w:r>
      <w:r>
        <w:t xml:space="preserve">“</w:t>
      </w:r>
      <w:r>
        <w:t xml:space="preserve">incendios recurrentes o mal gestionados pueden erosionar la diversidad funcional</w:t>
      </w:r>
      <w:r>
        <w:t xml:space="preserve">”</w:t>
      </w:r>
      <w:r>
        <w:t xml:space="preserve"> </w:t>
      </w:r>
      <w:r>
        <w:t xml:space="preserve">(</w:t>
      </w:r>
      <w:hyperlink r:id="rId38">
        <w:r>
          <w:rPr>
            <w:rStyle w:val="Hyperlink"/>
          </w:rPr>
          <w:t xml:space="preserve">Luis Navarro, 2025</w:t>
        </w:r>
      </w:hyperlink>
      <w:r>
        <w:t xml:space="preserve">).</w:t>
      </w:r>
    </w:p>
    <w:p>
      <w:pPr>
        <w:numPr>
          <w:ilvl w:val="0"/>
          <w:numId w:val="1004"/>
        </w:numPr>
        <w:pStyle w:val="Compact"/>
      </w:pPr>
      <w:r>
        <w:rPr>
          <w:bCs/>
          <w:b/>
        </w:rPr>
        <w:t xml:space="preserve">Canarias (Tenerife, 2023):</w:t>
      </w:r>
      <w:r>
        <w:t xml:space="preserve"> </w:t>
      </w:r>
      <w:r>
        <w:t xml:space="preserve">el Cabildo estimó entre 2.500 y 3.500 colmenas arrasadas, y en muchas que no ardieron el calor provocó</w:t>
      </w:r>
      <w:r>
        <w:t xml:space="preserve"> </w:t>
      </w:r>
      <w:r>
        <w:t xml:space="preserve">“</w:t>
      </w:r>
      <w:r>
        <w:t xml:space="preserve">la huida o muerte de las abejas</w:t>
      </w:r>
      <w:r>
        <w:t xml:space="preserve">”</w:t>
      </w:r>
      <w:r>
        <w:t xml:space="preserve"> </w:t>
      </w:r>
      <w:r>
        <w:t xml:space="preserve">(</w:t>
      </w:r>
      <w:hyperlink r:id="rId39">
        <w:r>
          <w:rPr>
            <w:rStyle w:val="Hyperlink"/>
          </w:rPr>
          <w:t xml:space="preserve">COPE / Europa Press</w:t>
        </w:r>
      </w:hyperlink>
      <w:r>
        <w:t xml:space="preserve">). Son colmenas de apicultura; no he encontrado estudios sobre polinizadores silvestres tras los incendios de las islas.</w:t>
      </w:r>
    </w:p>
    <w:p>
      <w:pPr>
        <w:numPr>
          <w:ilvl w:val="0"/>
          <w:numId w:val="1004"/>
        </w:numPr>
        <w:pStyle w:val="Compact"/>
      </w:pPr>
      <w:r>
        <w:rPr>
          <w:bCs/>
          <w:b/>
        </w:rPr>
        <w:t xml:space="preserve">África:</w:t>
      </w:r>
      <w:r>
        <w:t xml:space="preserve"> </w:t>
      </w:r>
      <w:r>
        <w:t xml:space="preserve">la vanesa de los cardos (</w:t>
      </w:r>
      <w:r>
        <w:rPr>
          <w:iCs/>
          <w:i/>
        </w:rPr>
        <w:t xml:space="preserve">Vanessa cardui</w:t>
      </w:r>
      <w:r>
        <w:t xml:space="preserve">), que migra entre África y Europa, cría en invierno en regiones subhúmedas cercanas a los trópicos (</w:t>
      </w:r>
      <w:hyperlink r:id="rId40">
        <w:r>
          <w:rPr>
            <w:rStyle w:val="Hyperlink"/>
          </w:rPr>
          <w:t xml:space="preserve">Talavera et al., 2023, PNAS</w:t>
        </w:r>
      </w:hyperlink>
      <w:r>
        <w:t xml:space="preserve">). No he encontrado estudios que midan el efecto del fuego sobre los polinizadores en África.</w:t>
      </w:r>
    </w:p>
    <w:p>
      <w:pPr>
        <w:numPr>
          <w:ilvl w:val="0"/>
          <w:numId w:val="1004"/>
        </w:numPr>
        <w:pStyle w:val="Compact"/>
      </w:pPr>
      <w:r>
        <w:rPr>
          <w:bCs/>
          <w:b/>
        </w:rPr>
        <w:t xml:space="preserve">Mundo:</w:t>
      </w:r>
      <w:r>
        <w:t xml:space="preserve"> </w:t>
      </w:r>
      <w:r>
        <w:t xml:space="preserve">una revisión de 2025 concluye que la respuesta de las abejas al fuego es extremadamente variable, que las quemas fuera de temporada son más dañinas, que tras grandes incendios se destruyeron nidos de abejas carpinteras (</w:t>
      </w:r>
      <w:r>
        <w:rPr>
          <w:iCs/>
          <w:i/>
        </w:rPr>
        <w:t xml:space="preserve">Xylocopa</w:t>
      </w:r>
      <w:r>
        <w:t xml:space="preserve">) y que faltan estudios en el hemisferio sur y en los trópicos (</w:t>
      </w:r>
      <w:hyperlink r:id="rId41">
        <w:r>
          <w:rPr>
            <w:rStyle w:val="Hyperlink"/>
          </w:rPr>
          <w:t xml:space="preserve">Prendergast et al., 2025, Biological Reviews</w:t>
        </w:r>
      </w:hyperlink>
      <w:r>
        <w:t xml:space="preserve">).</w:t>
      </w:r>
    </w:p>
    <w:bookmarkEnd w:id="53"/>
    <w:bookmarkStart w:id="54" w:name="español-pendiente-de-verificar"/>
    <w:bookmarkEnd w:id="54"/>
    <w:bookmarkStart w:id="55" w:name="X3c4809ee71f372bd8e576ee325c56ab318a8045"/>
    <w:bookmarkEnd w:id="55"/>
    <w:bookmarkStart w:id="59" w:name="sources-fuentes"/>
    <w:p>
      <w:pPr>
        <w:pStyle w:val="Heading1"/>
      </w:pPr>
      <w:r>
        <w:t xml:space="preserve">Sources · Fuentes</w:t>
      </w:r>
    </w:p>
    <w:p>
      <w:pPr>
        <w:pStyle w:val="FirstParagraph"/>
      </w:pPr>
      <w:r>
        <w:t>Sources consulted on 8–9 October 2026. EFFIS and GWIS primary statistics portals did not load for direct inspection; links below identify the cited reporting and research. Fuentes consultadas el 8 y 9 de octubre de 2026. Los portales estadísticos primarios de EFFIS y GWIS no cargaron para su revisión directa; los enlaces siguientes identifican los informes y estudios citados.</w:t>
      </w:r>
    </w:p>
    <w:p>
      <w:pPr>
        <w:numPr>
          <w:ilvl w:val="0"/>
          <w:numId w:val="1007"/>
        </w:numPr>
        <w:pStyle w:val="Compact"/>
      </w:pPr>
      <w:hyperlink r:id="rId20">
        <w:r>
          <w:rPr>
            <w:rStyle w:val="Hyperlink"/>
          </w:rPr>
          <w:t xml:space="preserve">MITECO – balance of 31 August (The Objective)</w:t>
        </w:r>
      </w:hyperlink>
    </w:p>
    <w:p>
      <w:pPr>
        <w:numPr>
          <w:ilvl w:val="0"/>
          <w:numId w:val="1007"/>
        </w:numPr>
        <w:pStyle w:val="Compact"/>
      </w:pPr>
      <w:hyperlink r:id="rId21">
        <w:r>
          <w:rPr>
            <w:rStyle w:val="Hyperlink"/>
          </w:rPr>
          <w:t xml:space="preserve">MITECO – interactive wildfire report</w:t>
        </w:r>
      </w:hyperlink>
    </w:p>
    <w:p>
      <w:pPr>
        <w:numPr>
          <w:ilvl w:val="0"/>
          <w:numId w:val="1007"/>
        </w:numPr>
        <w:pStyle w:val="Compact"/>
      </w:pPr>
      <w:hyperlink r:id="rId56">
        <w:r>
          <w:rPr>
            <w:rStyle w:val="Hyperlink"/>
          </w:rPr>
          <w:t xml:space="preserve">MITECO – mid-August balance (254,730 ha at 17 Aug)</w:t>
        </w:r>
      </w:hyperlink>
    </w:p>
    <w:p>
      <w:pPr>
        <w:numPr>
          <w:ilvl w:val="0"/>
          <w:numId w:val="1007"/>
        </w:numPr>
        <w:pStyle w:val="Compact"/>
      </w:pPr>
      <w:hyperlink r:id="rId57">
        <w:r>
          <w:rPr>
            <w:rStyle w:val="Hyperlink"/>
          </w:rPr>
          <w:t xml:space="preserve">MITECO – MITECO-CCAA-EFFIS provisional estimate</w:t>
        </w:r>
      </w:hyperlink>
    </w:p>
    <w:p>
      <w:pPr>
        <w:numPr>
          <w:ilvl w:val="0"/>
          <w:numId w:val="1007"/>
        </w:numPr>
        <w:pStyle w:val="Compact"/>
      </w:pPr>
      <w:hyperlink r:id="rId22">
        <w:r>
          <w:rPr>
            <w:rStyle w:val="Hyperlink"/>
          </w:rPr>
          <w:t xml:space="preserve">Ecoticias – EFFIS figures to 1 October</w:t>
        </w:r>
      </w:hyperlink>
    </w:p>
    <w:p>
      <w:pPr>
        <w:numPr>
          <w:ilvl w:val="0"/>
          <w:numId w:val="1007"/>
        </w:numPr>
        <w:pStyle w:val="Compact"/>
      </w:pPr>
      <w:hyperlink r:id="rId23">
        <w:r>
          <w:rPr>
            <w:rStyle w:val="Hyperlink"/>
          </w:rPr>
          <w:t xml:space="preserve">NIFC – North American seasonal fire outlook</w:t>
        </w:r>
      </w:hyperlink>
    </w:p>
    <w:p>
      <w:pPr>
        <w:numPr>
          <w:ilvl w:val="0"/>
          <w:numId w:val="1007"/>
        </w:numPr>
        <w:pStyle w:val="Compact"/>
      </w:pPr>
      <w:hyperlink r:id="rId27">
        <w:r>
          <w:rPr>
            <w:rStyle w:val="Hyperlink"/>
          </w:rPr>
          <w:t xml:space="preserve">NIFC – national fire news (United States, 2 October)</w:t>
        </w:r>
      </w:hyperlink>
    </w:p>
    <w:p>
      <w:pPr>
        <w:numPr>
          <w:ilvl w:val="0"/>
          <w:numId w:val="1007"/>
        </w:numPr>
        <w:pStyle w:val="Compact"/>
      </w:pPr>
      <w:hyperlink r:id="rId58">
        <w:r>
          <w:rPr>
            <w:rStyle w:val="Hyperlink"/>
          </w:rPr>
          <w:t xml:space="preserve">CIFFC – national situation report (by province, 23 September)</w:t>
        </w:r>
      </w:hyperlink>
    </w:p>
    <w:p>
      <w:pPr>
        <w:numPr>
          <w:ilvl w:val="0"/>
          <w:numId w:val="1007"/>
        </w:numPr>
        <w:pStyle w:val="Compact"/>
      </w:pPr>
      <w:hyperlink r:id="rId26">
        <w:r>
          <w:rPr>
            <w:rStyle w:val="Hyperlink"/>
          </w:rPr>
          <w:t xml:space="preserve">World Weather Attribution – Canada wildfires 2026</w:t>
        </w:r>
      </w:hyperlink>
    </w:p>
    <w:p>
      <w:pPr>
        <w:numPr>
          <w:ilvl w:val="0"/>
          <w:numId w:val="1007"/>
        </w:numPr>
        <w:pStyle w:val="Compact"/>
      </w:pPr>
      <w:hyperlink r:id="rId25">
        <w:r>
          <w:rPr>
            <w:rStyle w:val="Hyperlink"/>
          </w:rPr>
          <w:t xml:space="preserve">Visual Capitalist – Where the world is burning in 2026 (GWIS)</w:t>
        </w:r>
      </w:hyperlink>
    </w:p>
    <w:p>
      <w:pPr>
        <w:numPr>
          <w:ilvl w:val="0"/>
          <w:numId w:val="1007"/>
        </w:numPr>
        <w:pStyle w:val="Compact"/>
      </w:pPr>
      <w:hyperlink r:id="rId28">
        <w:r>
          <w:rPr>
            <w:rStyle w:val="Hyperlink"/>
          </w:rPr>
          <w:t xml:space="preserve">The Moscow Times – Siberian wildfires, 24 August</w:t>
        </w:r>
      </w:hyperlink>
    </w:p>
    <w:p>
      <w:pPr>
        <w:numPr>
          <w:ilvl w:val="0"/>
          <w:numId w:val="1007"/>
        </w:numPr>
        <w:pStyle w:val="Compact"/>
      </w:pPr>
      <w:hyperlink r:id="rId30">
        <w:r>
          <w:rPr>
            <w:rStyle w:val="Hyperlink"/>
          </w:rPr>
          <w:t xml:space="preserve">BNC Amazonas – INPE hotspots, September</w:t>
        </w:r>
      </w:hyperlink>
    </w:p>
    <w:p>
      <w:pPr>
        <w:numPr>
          <w:ilvl w:val="0"/>
          <w:numId w:val="1007"/>
        </w:numPr>
        <w:pStyle w:val="Compact"/>
      </w:pPr>
      <w:hyperlink r:id="rId31">
        <w:r>
          <w:rPr>
            <w:rStyle w:val="Hyperlink"/>
          </w:rPr>
          <w:t xml:space="preserve">Infobae – Bolivia fires, 20 July</w:t>
        </w:r>
      </w:hyperlink>
    </w:p>
    <w:p>
      <w:pPr>
        <w:numPr>
          <w:ilvl w:val="0"/>
          <w:numId w:val="1007"/>
        </w:numPr>
        <w:pStyle w:val="Compact"/>
      </w:pPr>
      <w:hyperlink r:id="rId45">
        <w:r>
          <w:rPr>
            <w:rStyle w:val="Hyperlink"/>
          </w:rPr>
          <w:t xml:space="preserve">EFFIS statistics portal</w:t>
        </w:r>
      </w:hyperlink>
    </w:p>
    <w:p>
      <w:pPr>
        <w:numPr>
          <w:ilvl w:val="0"/>
          <w:numId w:val="1007"/>
        </w:numPr>
        <w:pStyle w:val="Compact"/>
      </w:pPr>
      <w:hyperlink r:id="rId46">
        <w:r>
          <w:rPr>
            <w:rStyle w:val="Hyperlink"/>
          </w:rPr>
          <w:t xml:space="preserve">GWIS statistics portal</w:t>
        </w:r>
      </w:hyperlink>
    </w:p>
    <w:p>
      <w:pPr>
        <w:numPr>
          <w:ilvl w:val="0"/>
          <w:numId w:val="1007"/>
        </w:numPr>
        <w:pStyle w:val="Compact"/>
      </w:pPr>
      <w:hyperlink r:id="rId33">
        <w:r>
          <w:rPr>
            <w:rStyle w:val="Hyperlink"/>
          </w:rPr>
          <w:t xml:space="preserve">Ulyshen et al. (2024) – Forest pollinator richness declines with distance into burned areas, Forest Ecology and Management 565</w:t>
        </w:r>
      </w:hyperlink>
    </w:p>
    <w:p>
      <w:pPr>
        <w:numPr>
          <w:ilvl w:val="0"/>
          <w:numId w:val="1007"/>
        </w:numPr>
        <w:pStyle w:val="Compact"/>
      </w:pPr>
      <w:hyperlink r:id="rId34">
        <w:r>
          <w:rPr>
            <w:rStyle w:val="Hyperlink"/>
          </w:rPr>
          <w:t xml:space="preserve">Monarch Joint Venture (2020) – Effects of wildfire on monarch butterfly habitat</w:t>
        </w:r>
      </w:hyperlink>
    </w:p>
    <w:p>
      <w:pPr>
        <w:numPr>
          <w:ilvl w:val="0"/>
          <w:numId w:val="1007"/>
        </w:numPr>
        <w:pStyle w:val="Compact"/>
      </w:pPr>
      <w:hyperlink r:id="rId35">
        <w:r>
          <w:rPr>
            <w:rStyle w:val="Hyperlink"/>
          </w:rPr>
          <w:t xml:space="preserve">NC State (2020) – Prescribed burns benefit bees</w:t>
        </w:r>
      </w:hyperlink>
    </w:p>
    <w:p>
      <w:pPr>
        <w:numPr>
          <w:ilvl w:val="0"/>
          <w:numId w:val="1007"/>
        </w:numPr>
        <w:pStyle w:val="Compact"/>
      </w:pPr>
      <w:hyperlink r:id="rId37">
        <w:r>
          <w:rPr>
            <w:rStyle w:val="Hyperlink"/>
          </w:rPr>
          <w:t xml:space="preserve">Nakas et al. (2023) – Recent fire in a Mediterranean ecosystem strengthens hoverfly populations, Ecology and Evolution</w:t>
        </w:r>
      </w:hyperlink>
    </w:p>
    <w:p>
      <w:pPr>
        <w:numPr>
          <w:ilvl w:val="0"/>
          <w:numId w:val="1007"/>
        </w:numPr>
        <w:pStyle w:val="Compact"/>
      </w:pPr>
      <w:hyperlink r:id="rId38">
        <w:r>
          <w:rPr>
            <w:rStyle w:val="Hyperlink"/>
          </w:rPr>
          <w:t xml:space="preserve">Luis Navarro, Universidade de Vigo (2025) – ¿Cómo afectan los incendios a los polinizadores?</w:t>
        </w:r>
      </w:hyperlink>
    </w:p>
    <w:p>
      <w:pPr>
        <w:numPr>
          <w:ilvl w:val="0"/>
          <w:numId w:val="1007"/>
        </w:numPr>
        <w:pStyle w:val="Compact"/>
      </w:pPr>
      <w:hyperlink r:id="rId39">
        <w:r>
          <w:rPr>
            <w:rStyle w:val="Hyperlink"/>
          </w:rPr>
          <w:t xml:space="preserve">COPE / Europa Press (2023) – El incendio de Tenerife arrasa más de 2.500 colmenas</w:t>
        </w:r>
      </w:hyperlink>
    </w:p>
    <w:p>
      <w:pPr>
        <w:numPr>
          <w:ilvl w:val="0"/>
          <w:numId w:val="1007"/>
        </w:numPr>
        <w:pStyle w:val="Compact"/>
      </w:pPr>
      <w:hyperlink r:id="rId40">
        <w:r>
          <w:rPr>
            <w:rStyle w:val="Hyperlink"/>
          </w:rPr>
          <w:t xml:space="preserve">Talavera et al. (2023) – Afrotropical breeding grounds of painted lady butterflies, PNAS</w:t>
        </w:r>
      </w:hyperlink>
    </w:p>
    <w:p>
      <w:pPr>
        <w:numPr>
          <w:ilvl w:val="0"/>
          <w:numId w:val="1007"/>
        </w:numPr>
        <w:pStyle w:val="Compact"/>
      </w:pPr>
      <w:hyperlink r:id="rId41">
        <w:r>
          <w:rPr>
            <w:rStyle w:val="Hyperlink"/>
          </w:rPr>
          <w:t xml:space="preserve">Prendergast et al. (2025) – Bees feeling the burn, Biological Reviews</w:t>
        </w:r>
      </w:hyperlink>
    </w:p>
    <w:p>
      <w:pPr>
        <w:numPr>
          <w:ilvl w:val="0"/>
          <w:numId w:val="1007"/>
        </w:numPr>
        <w:pStyle w:val="Compact"/>
      </w:pPr>
      <w:hyperlink r:id="rId48">
        <w:r>
          <w:rPr>
            <w:rStyle w:val="Hyperlink"/>
          </w:rPr>
          <w:t xml:space="preserve">Greenpeace España – human origin of wildfires (earlier link, not rechecked)</w:t>
        </w:r>
      </w:hyperlink>
    </w:p>
    <w:bookmarkEnd w:id="59"/>
    <w:sectPr>
      <w:pgSz w:w="11906" w:h="16838"/>
      <w:pgMar w:left="1134" w:right="1134" w:top="1134" w:bottom="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pPr>
      <w:spacing w:after="180" w:before="180"/>
    </w:pPr>
    <w:qFormat/>
    <w:rPr>
      <w:rFonts w:ascii="Calibri" w:hAnsi="Calibri"/>
      <w:sz w:val="21"/>
    </w:rPr>
  </w:style>
  <w:style w:customStyle="1" w:styleId="FirstParagraph" w:type="paragraph">
    <w:name w:val="First Paragraph"/>
    <w:basedOn w:val="BodyText"/>
    <w:next w:val="BodyText"/>
    <w:qFormat/>
    <w:rPr>
      <w:rFonts w:ascii="Calibri" w:hAnsi="Calibri"/>
      <w:sz w:val="21"/>
    </w:rPr>
  </w:style>
  <w:style w:customStyle="1" w:styleId="Compact" w:type="paragraph">
    <w:name w:val="Compact"/>
    <w:basedOn w:val="BodyText"/>
    <w:qFormat/>
    <w:pPr>
      <w:spacing w:after="36" w:before="36"/>
    </w:pPr>
    <w:rPr>
      <w:rFonts w:ascii="Calibri" w:hAnsi="Calibri"/>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b w:val="0"/>
      <w:color w:val="000000"/>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26"/>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0" Type="http://schemas.openxmlformats.org/officeDocument/2006/relationships/hyperlink" Target="https://bncamazonas.com.br/municipios/queimadas-disparam-282-no-amazonas-enquanto-fumaca-encobre-manaus/" TargetMode="External"/><Relationship Id="rId58" Type="http://schemas.openxmlformats.org/officeDocument/2006/relationships/hyperlink" Target="https://ciffc.net/situation/" TargetMode="External"/><Relationship Id="rId44" Type="http://schemas.openxmlformats.org/officeDocument/2006/relationships/hyperlink" Target="https://currentwildfires.com/en/fire/wildfire-id-2026/" TargetMode="External"/><Relationship Id="rId48" Type="http://schemas.openxmlformats.org/officeDocument/2006/relationships/hyperlink" Target="https://es.greenpeace.org/es/sala-de-prensa/comunicados/greenpeace-exige-que-no-se-olviden-de-las-zonas-quemadas-en-2025-y-que-se-actue-en-2026-con-prevencion-y-gestion-posincendios-2/" TargetMode="External"/><Relationship Id="rId45" Type="http://schemas.openxmlformats.org/officeDocument/2006/relationships/hyperlink" Target="https://forest-fire.emergency.copernicus.eu/apps/effis.statistics/estimates" TargetMode="External"/><Relationship Id="rId46" Type="http://schemas.openxmlformats.org/officeDocument/2006/relationships/hyperlink" Target="https://gwis.jrc.ec.europa.eu/apps/gwis.statistics/estimates" TargetMode="External"/><Relationship Id="rId38" Type="http://schemas.openxmlformats.org/officeDocument/2006/relationships/hyperlink" Target="https://lnavarro.webs.uvigo.es/en/2025/09/18/como-afectan-los-incendios-a-los-polinizadores-y-otros-pensamientos/" TargetMode="External"/><Relationship Id="rId34" Type="http://schemas.openxmlformats.org/officeDocument/2006/relationships/hyperlink" Target="https://monarchjointventure.org/blog/more-than-monarchs-effects-of-wildfire-on-monarch-butterfly-habitat" TargetMode="External"/><Relationship Id="rId35" Type="http://schemas.openxmlformats.org/officeDocument/2006/relationships/hyperlink" Target="https://news.ncsu.edu/?p=499797" TargetMode="External"/><Relationship Id="rId33" Type="http://schemas.openxmlformats.org/officeDocument/2006/relationships/hyperlink" Target="https://nwfsc.forestry.oregonstate.edu/sites/default/files/publications/ja_2024_ulyshen_004.pdf" TargetMode="External"/><Relationship Id="rId40" Type="http://schemas.openxmlformats.org/officeDocument/2006/relationships/hyperlink" Target="https://piercelab.oeb.harvard.edu/publications/afrotropical-breeding-grounds-palearctic-african-migratory-painted-lady" TargetMode="External"/><Relationship Id="rId41" Type="http://schemas.openxmlformats.org/officeDocument/2006/relationships/hyperlink" Target="https://pmc.ncbi.nlm.nih.gov/articles/PMC12783451/" TargetMode="External"/><Relationship Id="rId37" Type="http://schemas.openxmlformats.org/officeDocument/2006/relationships/hyperlink" Target="https://pmc.ncbi.nlm.nih.gov/articles/PMC9905663/" TargetMode="External"/><Relationship Id="rId20" Type="http://schemas.openxmlformats.org/officeDocument/2006/relationships/hyperlink" Target="https://theobjective.com/sociedad/2026-08-31/incendios-hectareas-2026-ano-pasado/" TargetMode="External"/><Relationship Id="rId29" Type="http://schemas.openxmlformats.org/officeDocument/2006/relationships/hyperlink" Target="https://wildfiretoday.com/large-fires-across-top-of-australia/" TargetMode="External"/><Relationship Id="rId39" Type="http://schemas.openxmlformats.org/officeDocument/2006/relationships/hyperlink" Target="https://www.cope.es/actualidad/espana/noticias/incendio-forestal-tenerife-arrasa-mas-2500-colmenas-20230905_2883784" TargetMode="External"/><Relationship Id="rId22" Type="http://schemas.openxmlformats.org/officeDocument/2006/relationships/hyperlink" Target="https://www.ecoticias.com/medio-ambiente/incendios-espana-300998-hectareas-triple-media-2026" TargetMode="External"/><Relationship Id="rId31" Type="http://schemas.openxmlformats.org/officeDocument/2006/relationships/hyperlink" Target="https://www.infobae.com/america/america-latina/2026/07/20/incendios-forestales-se-extienden-en-el-este-y-sur-de-bolivia-en-medio-de-escasez-de-agua-y-diesel/" TargetMode="External"/><Relationship Id="rId57" Type="http://schemas.openxmlformats.org/officeDocument/2006/relationships/hyperlink" Target="https://www.miteco.gob.es/content/dam/miteco/es/biodiversidad/temas/incendios-forestales/estimacion_provisional.html" TargetMode="External"/><Relationship Id="rId56" Type="http://schemas.openxmlformats.org/officeDocument/2006/relationships/hyperlink" Target="https://www.miteco.gob.es/es/prensa/ultimas-noticias/2026/agosto/la-superficie-forestal-afectada-por-incendios-se-situa-en-254-73.html" TargetMode="External"/><Relationship Id="rId21" Type="http://schemas.openxmlformats.org/officeDocument/2006/relationships/hyperlink" Target="https://www.miteco.gob.es/es/prensa/ultimas-noticias/2026/septiembre/el-miteco-habilita-un-informe-interactivo-con-los-datos-de-los-i.html" TargetMode="External"/><Relationship Id="rId27" Type="http://schemas.openxmlformats.org/officeDocument/2006/relationships/hyperlink" Target="https://www.nifc.gov/fire-information/nfn" TargetMode="External"/><Relationship Id="rId23" Type="http://schemas.openxmlformats.org/officeDocument/2006/relationships/hyperlink" Target="https://www.nifc.gov/nicc-files/predictive/outlooks/NA_Outlook.pdf" TargetMode="External"/><Relationship Id="rId28" Type="http://schemas.openxmlformats.org/officeDocument/2006/relationships/hyperlink" Target="https://www.themoscowtimes.com/2026/08/24/siberian-wildfires-reach-35m-acres-across-krasnoyarsk-and-sakha-republic-a93565" TargetMode="External"/><Relationship Id="rId25" Type="http://schemas.openxmlformats.org/officeDocument/2006/relationships/hyperlink" Target="https://www.visualcapitalist.com/where-the-world-is-burning-in-2026/" TargetMode="External"/><Relationship Id="rId26" Type="http://schemas.openxmlformats.org/officeDocument/2006/relationships/hyperlink" Target="https://www.worldweatherattribution.org/climate-change-canada-wildfires-2026/" TargetMode="External"/><Relationship Id="rId43" Type="http://schemas.openxmlformats.org/officeDocument/2006/relationships/hyperlink" Target="https://www.zerohedge.com/weather/where-world-burning-2026" TargetMode="External"/><Relationship Id="rId9" Type="http://schemas.openxmlformats.org/officeDocument/2006/relationships/image" Target="media/image1.jpg"/><Relationship Id="rId10" Type="http://schemas.openxmlformats.org/officeDocument/2006/relationships/hyperlink" Target="https://www.flickr.com/photos/nifc/albums/72177720331309023/" TargetMode="External"/><Relationship Id="rId11" Type="http://schemas.openxmlformats.org/officeDocument/2006/relationships/image" Target="media/image2.jpg"/><Relationship Id="rId12" Type="http://schemas.openxmlformats.org/officeDocument/2006/relationships/hyperlink" Target="https://www.flickr.com/photos/nifc/55527268862/" TargetMode="External"/></Relationships>
</file>

<file path=word/_rels/footnotes.xml.rels><?xml version='1.0' encoding='UTF-8' standalone='yes'?>
<Relationships xmlns="http://schemas.openxmlformats.org/package/2006/relationships"><Relationship Id="rId30" Type="http://schemas.openxmlformats.org/officeDocument/2006/relationships/hyperlink" Target="https://bncamazonas.com.br/municipios/queimadas-disparam-282-no-amazonas-enquanto-fumaca-encobre-manaus/" TargetMode="External"/><Relationship Id="rId58" Type="http://schemas.openxmlformats.org/officeDocument/2006/relationships/hyperlink" Target="https://ciffc.net/situation/" TargetMode="External"/><Relationship Id="rId44" Type="http://schemas.openxmlformats.org/officeDocument/2006/relationships/hyperlink" Target="https://currentwildfires.com/en/fire/wildfire-id-2026/" TargetMode="External"/><Relationship Id="rId48" Type="http://schemas.openxmlformats.org/officeDocument/2006/relationships/hyperlink" Target="https://es.greenpeace.org/es/sala-de-prensa/comunicados/greenpeace-exige-que-no-se-olviden-de-las-zonas-quemadas-en-2025-y-que-se-actue-en-2026-con-prevencion-y-gestion-posincendios-2/" TargetMode="External"/><Relationship Id="rId45" Type="http://schemas.openxmlformats.org/officeDocument/2006/relationships/hyperlink" Target="https://forest-fire.emergency.copernicus.eu/apps/effis.statistics/estimates" TargetMode="External"/><Relationship Id="rId46" Type="http://schemas.openxmlformats.org/officeDocument/2006/relationships/hyperlink" Target="https://gwis.jrc.ec.europa.eu/apps/gwis.statistics/estimates" TargetMode="External"/><Relationship Id="rId38" Type="http://schemas.openxmlformats.org/officeDocument/2006/relationships/hyperlink" Target="https://lnavarro.webs.uvigo.es/en/2025/09/18/como-afectan-los-incendios-a-los-polinizadores-y-otros-pensamientos/" TargetMode="External"/><Relationship Id="rId34" Type="http://schemas.openxmlformats.org/officeDocument/2006/relationships/hyperlink" Target="https://monarchjointventure.org/blog/more-than-monarchs-effects-of-wildfire-on-monarch-butterfly-habitat" TargetMode="External"/><Relationship Id="rId35" Type="http://schemas.openxmlformats.org/officeDocument/2006/relationships/hyperlink" Target="https://news.ncsu.edu/?p=499797" TargetMode="External"/><Relationship Id="rId33" Type="http://schemas.openxmlformats.org/officeDocument/2006/relationships/hyperlink" Target="https://nwfsc.forestry.oregonstate.edu/sites/default/files/publications/ja_2024_ulyshen_004.pdf" TargetMode="External"/><Relationship Id="rId40" Type="http://schemas.openxmlformats.org/officeDocument/2006/relationships/hyperlink" Target="https://piercelab.oeb.harvard.edu/publications/afrotropical-breeding-grounds-palearctic-african-migratory-painted-lady" TargetMode="External"/><Relationship Id="rId41" Type="http://schemas.openxmlformats.org/officeDocument/2006/relationships/hyperlink" Target="https://pmc.ncbi.nlm.nih.gov/articles/PMC12783451/" TargetMode="External"/><Relationship Id="rId37" Type="http://schemas.openxmlformats.org/officeDocument/2006/relationships/hyperlink" Target="https://pmc.ncbi.nlm.nih.gov/articles/PMC9905663/" TargetMode="External"/><Relationship Id="rId20" Type="http://schemas.openxmlformats.org/officeDocument/2006/relationships/hyperlink" Target="https://theobjective.com/sociedad/2026-08-31/incendios-hectareas-2026-ano-pasado/" TargetMode="External"/><Relationship Id="rId29" Type="http://schemas.openxmlformats.org/officeDocument/2006/relationships/hyperlink" Target="https://wildfiretoday.com/large-fires-across-top-of-australia/" TargetMode="External"/><Relationship Id="rId39" Type="http://schemas.openxmlformats.org/officeDocument/2006/relationships/hyperlink" Target="https://www.cope.es/actualidad/espana/noticias/incendio-forestal-tenerife-arrasa-mas-2500-colmenas-20230905_2883784" TargetMode="External"/><Relationship Id="rId22" Type="http://schemas.openxmlformats.org/officeDocument/2006/relationships/hyperlink" Target="https://www.ecoticias.com/medio-ambiente/incendios-espana-300998-hectareas-triple-media-2026" TargetMode="External"/><Relationship Id="rId31" Type="http://schemas.openxmlformats.org/officeDocument/2006/relationships/hyperlink" Target="https://www.infobae.com/america/america-latina/2026/07/20/incendios-forestales-se-extienden-en-el-este-y-sur-de-bolivia-en-medio-de-escasez-de-agua-y-diesel/" TargetMode="External"/><Relationship Id="rId57" Type="http://schemas.openxmlformats.org/officeDocument/2006/relationships/hyperlink" Target="https://www.miteco.gob.es/content/dam/miteco/es/biodiversidad/temas/incendios-forestales/estimacion_provisional.html" TargetMode="External"/><Relationship Id="rId56" Type="http://schemas.openxmlformats.org/officeDocument/2006/relationships/hyperlink" Target="https://www.miteco.gob.es/es/prensa/ultimas-noticias/2026/agosto/la-superficie-forestal-afectada-por-incendios-se-situa-en-254-73.html" TargetMode="External"/><Relationship Id="rId21" Type="http://schemas.openxmlformats.org/officeDocument/2006/relationships/hyperlink" Target="https://www.miteco.gob.es/es/prensa/ultimas-noticias/2026/septiembre/el-miteco-habilita-un-informe-interactivo-con-los-datos-de-los-i.html" TargetMode="External"/><Relationship Id="rId27" Type="http://schemas.openxmlformats.org/officeDocument/2006/relationships/hyperlink" Target="https://www.nifc.gov/fire-information/nfn" TargetMode="External"/><Relationship Id="rId23" Type="http://schemas.openxmlformats.org/officeDocument/2006/relationships/hyperlink" Target="https://www.nifc.gov/nicc-files/predictive/outlooks/NA_Outlook.pdf" TargetMode="External"/><Relationship Id="rId28" Type="http://schemas.openxmlformats.org/officeDocument/2006/relationships/hyperlink" Target="https://www.themoscowtimes.com/2026/08/24/siberian-wildfires-reach-35m-acres-across-krasnoyarsk-and-sakha-republic-a93565" TargetMode="External"/><Relationship Id="rId25" Type="http://schemas.openxmlformats.org/officeDocument/2006/relationships/hyperlink" Target="https://www.visualcapitalist.com/where-the-world-is-burning-in-2026/" TargetMode="External"/><Relationship Id="rId26" Type="http://schemas.openxmlformats.org/officeDocument/2006/relationships/hyperlink" Target="https://www.worldweatherattribution.org/climate-change-canada-wildfires-2026/" TargetMode="External"/><Relationship Id="rId43" Type="http://schemas.openxmlformats.org/officeDocument/2006/relationships/hyperlink" Target="https://www.zerohedge.com/weather/where-world-burning-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que el fuego se lleva y nadie cuenta: incendios y polinizadores en el mundo, 2026</dc:title>
  <dc:creator>Asociación Internacional en Defensa de las Flores Proveneya &amp; Nahiara</dc:creator>
  <cp:keywords/>
  <dcterms:created xsi:type="dcterms:W3CDTF">2026-10-09T08:38:34Z</dcterms:created>
  <dcterms:modified xsi:type="dcterms:W3CDTF">2026-10-09T08:38:34Z</dcterms:modified>
  <dc:subject>También arden las alas · Wings burn too</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9 de octubre de 2026 · 9 October 2026</vt:lpwstr>
  </property>
  <property fmtid="{D5CDD505-2E9C-101B-9397-08002B2CF9AE}" pid="3" name="subtitle">
    <vt:lpwstr>También arden las alas</vt:lpwstr>
  </property>
</Properties>
</file>